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pPr>
    </w:p>
    <w:p>
      <w:pPr>
        <w:spacing w:line="360" w:lineRule="auto"/>
        <w:jc w:val="center"/>
      </w:pPr>
    </w:p>
    <w:p>
      <w:pPr>
        <w:spacing w:line="360" w:lineRule="auto"/>
        <w:jc w:val="center"/>
      </w:pPr>
    </w:p>
    <w:p>
      <w:pPr>
        <w:spacing w:line="360" w:lineRule="auto"/>
        <w:jc w:val="center"/>
        <w:rPr>
          <w:b/>
          <w:bCs/>
          <w:sz w:val="21"/>
          <w:szCs w:val="21"/>
        </w:rPr>
      </w:pPr>
    </w:p>
    <w:p>
      <w:pPr>
        <w:spacing w:line="360" w:lineRule="auto"/>
        <w:jc w:val="center"/>
        <w:rPr>
          <w:b/>
          <w:bCs/>
          <w:sz w:val="21"/>
          <w:szCs w:val="21"/>
        </w:rPr>
      </w:pPr>
    </w:p>
    <w:p>
      <w:pPr>
        <w:spacing w:line="360" w:lineRule="auto"/>
        <w:jc w:val="center"/>
        <w:rPr>
          <w:b/>
          <w:bCs/>
          <w:sz w:val="21"/>
          <w:szCs w:val="21"/>
        </w:rPr>
      </w:pPr>
    </w:p>
    <w:p>
      <w:pPr>
        <w:spacing w:line="360" w:lineRule="auto"/>
        <w:jc w:val="center"/>
        <w:rPr>
          <w:rFonts w:hint="eastAsia"/>
          <w:b/>
          <w:bCs/>
          <w:sz w:val="72"/>
          <w:szCs w:val="72"/>
        </w:rPr>
      </w:pPr>
      <w:r>
        <w:rPr>
          <w:rFonts w:hint="eastAsia"/>
          <w:b/>
          <w:bCs/>
          <w:sz w:val="72"/>
          <w:szCs w:val="72"/>
        </w:rPr>
        <w:t>毕业论文（设计）正文</w:t>
      </w:r>
    </w:p>
    <w:p>
      <w:pPr>
        <w:spacing w:line="360" w:lineRule="auto"/>
      </w:pPr>
    </w:p>
    <w:p>
      <w:pPr>
        <w:spacing w:line="360" w:lineRule="auto"/>
      </w:pPr>
    </w:p>
    <w:p>
      <w:pPr>
        <w:spacing w:line="360" w:lineRule="auto"/>
      </w:pPr>
    </w:p>
    <w:p>
      <w:pPr>
        <w:spacing w:line="700" w:lineRule="exact"/>
        <w:ind w:left="847" w:leftChars="-224" w:hanging="1385" w:hangingChars="431"/>
        <w:jc w:val="center"/>
        <w:rPr>
          <w:b/>
          <w:sz w:val="32"/>
          <w:szCs w:val="32"/>
        </w:rPr>
      </w:pPr>
      <w:r>
        <w:rPr>
          <w:b/>
          <w:sz w:val="32"/>
          <w:szCs w:val="32"/>
        </w:rPr>
        <w:t>题目：</w:t>
      </w:r>
      <w:r>
        <w:rPr>
          <w:rFonts w:hint="eastAsia"/>
          <w:b/>
          <w:sz w:val="32"/>
          <w:szCs w:val="32"/>
        </w:rPr>
        <w:t>投资者情绪、流动性约束与期权隐含波动率偏差</w:t>
      </w:r>
    </w:p>
    <w:p>
      <w:pPr>
        <w:spacing w:line="700" w:lineRule="exact"/>
        <w:ind w:left="847" w:leftChars="-224" w:hanging="1385" w:hangingChars="431"/>
        <w:jc w:val="center"/>
        <w:rPr>
          <w:b/>
          <w:sz w:val="32"/>
          <w:szCs w:val="32"/>
        </w:rPr>
      </w:pPr>
      <w:r>
        <w:rPr>
          <w:b/>
          <w:sz w:val="32"/>
          <w:szCs w:val="32"/>
        </w:rPr>
        <w:t xml:space="preserve">Investor Sentiment, Liquidity Constraints and Option </w:t>
      </w:r>
    </w:p>
    <w:p>
      <w:pPr>
        <w:spacing w:line="700" w:lineRule="exact"/>
        <w:ind w:left="847" w:leftChars="-224" w:hanging="1385" w:hangingChars="431"/>
        <w:jc w:val="center"/>
        <w:rPr>
          <w:b/>
          <w:sz w:val="32"/>
          <w:szCs w:val="32"/>
        </w:rPr>
      </w:pPr>
      <w:r>
        <w:rPr>
          <w:b/>
          <w:sz w:val="32"/>
          <w:szCs w:val="32"/>
        </w:rPr>
        <w:t>Implied Volatility Spread</w:t>
      </w:r>
    </w:p>
    <w:p>
      <w:pPr>
        <w:spacing w:line="400" w:lineRule="exact"/>
        <w:rPr>
          <w:b/>
          <w:bCs/>
          <w:sz w:val="32"/>
        </w:rPr>
      </w:pPr>
    </w:p>
    <w:p>
      <w:pPr>
        <w:spacing w:line="400" w:lineRule="exact"/>
        <w:rPr>
          <w:b/>
          <w:bCs/>
          <w:sz w:val="32"/>
        </w:rPr>
      </w:pPr>
      <w:r>
        <w:commentReference w:id="0"/>
      </w:r>
    </w:p>
    <w:p>
      <w:pPr>
        <w:spacing w:line="400" w:lineRule="exact"/>
        <w:rPr>
          <w:b/>
          <w:bCs/>
          <w:sz w:val="32"/>
        </w:rPr>
      </w:pPr>
    </w:p>
    <w:p>
      <w:pPr>
        <w:spacing w:line="400" w:lineRule="exact"/>
        <w:rPr>
          <w:b/>
          <w:bCs/>
          <w:sz w:val="32"/>
        </w:rPr>
      </w:pPr>
    </w:p>
    <w:p>
      <w:pPr>
        <w:spacing w:line="400" w:lineRule="exact"/>
        <w:rPr>
          <w:b/>
          <w:bCs/>
          <w:sz w:val="32"/>
        </w:rPr>
      </w:pPr>
    </w:p>
    <w:p>
      <w:pPr>
        <w:spacing w:line="400" w:lineRule="exact"/>
        <w:rPr>
          <w:b/>
          <w:bCs/>
          <w:sz w:val="32"/>
        </w:rPr>
      </w:pPr>
    </w:p>
    <w:p>
      <w:pPr>
        <w:spacing w:line="400" w:lineRule="exact"/>
        <w:rPr>
          <w:b/>
          <w:bCs/>
          <w:sz w:val="32"/>
        </w:rPr>
      </w:pPr>
    </w:p>
    <w:p>
      <w:pPr>
        <w:spacing w:line="700" w:lineRule="exact"/>
        <w:ind w:firstLine="1911" w:firstLineChars="595"/>
        <w:rPr>
          <w:b/>
          <w:bCs/>
          <w:sz w:val="32"/>
          <w:szCs w:val="32"/>
        </w:rPr>
      </w:pPr>
    </w:p>
    <w:p>
      <w:pPr>
        <w:jc w:val="center"/>
        <w:rPr>
          <w:b/>
          <w:bCs/>
          <w:color w:val="ED7D31"/>
          <w:sz w:val="32"/>
          <w:szCs w:val="32"/>
        </w:rPr>
      </w:pPr>
    </w:p>
    <w:p>
      <w:pPr>
        <w:jc w:val="center"/>
        <w:rPr>
          <w:b/>
          <w:bCs/>
          <w:color w:val="ED7D31"/>
          <w:sz w:val="32"/>
          <w:szCs w:val="32"/>
        </w:rPr>
      </w:pPr>
    </w:p>
    <w:p>
      <w:pPr>
        <w:jc w:val="center"/>
        <w:rPr>
          <w:b/>
          <w:bCs/>
          <w:sz w:val="32"/>
        </w:rPr>
      </w:pPr>
    </w:p>
    <w:p>
      <w:pPr>
        <w:jc w:val="center"/>
        <w:rPr>
          <w:sz w:val="32"/>
        </w:rPr>
      </w:pPr>
      <w:r>
        <w:rPr>
          <w:rFonts w:hint="eastAsia"/>
          <w:b/>
          <w:bCs/>
          <w:sz w:val="32"/>
        </w:rPr>
        <w:t>二○   年     月</w:t>
      </w:r>
    </w:p>
    <w:p>
      <w:pPr>
        <w:jc w:val="center"/>
        <w:rPr>
          <w:rFonts w:eastAsia="黑体"/>
          <w:b/>
          <w:bCs/>
          <w:sz w:val="32"/>
          <w:szCs w:val="32"/>
        </w:rPr>
      </w:pPr>
    </w:p>
    <w:p>
      <w:pPr>
        <w:jc w:val="center"/>
        <w:rPr>
          <w:rFonts w:hint="eastAsia" w:eastAsia="黑体"/>
          <w:b/>
          <w:bCs/>
          <w:sz w:val="32"/>
          <w:szCs w:val="32"/>
        </w:rPr>
      </w:pPr>
      <w:r>
        <w:commentReference w:id="1"/>
      </w:r>
    </w:p>
    <w:p>
      <w:pPr>
        <w:jc w:val="center"/>
        <w:rPr>
          <w:rFonts w:eastAsia="黑体"/>
          <w:b/>
          <w:bCs/>
          <w:sz w:val="32"/>
          <w:szCs w:val="32"/>
        </w:rPr>
      </w:pPr>
      <w:r>
        <w:rPr>
          <w:rFonts w:hint="eastAsia" w:eastAsia="黑体"/>
          <w:b/>
          <w:bCs/>
          <w:sz w:val="32"/>
          <w:szCs w:val="32"/>
        </w:rPr>
        <w:t>投资者情绪、流动性约束与期权隐含波动率偏差</w:t>
      </w:r>
    </w:p>
    <w:p>
      <w:pPr>
        <w:jc w:val="center"/>
        <w:rPr>
          <w:rFonts w:eastAsia="黑体"/>
          <w:b/>
          <w:bCs/>
          <w:sz w:val="32"/>
          <w:szCs w:val="32"/>
        </w:rPr>
      </w:pPr>
    </w:p>
    <w:p>
      <w:pPr>
        <w:keepNext w:val="0"/>
        <w:keepLines w:val="0"/>
        <w:pageBreakBefore w:val="0"/>
        <w:widowControl/>
        <w:kinsoku/>
        <w:wordWrap/>
        <w:overflowPunct/>
        <w:topLinePunct w:val="0"/>
        <w:autoSpaceDE/>
        <w:autoSpaceDN/>
        <w:bidi w:val="0"/>
        <w:adjustRightInd/>
        <w:snapToGrid/>
        <w:spacing w:line="400" w:lineRule="exact"/>
        <w:ind w:firstLine="472" w:firstLineChars="196"/>
        <w:textAlignment w:val="auto"/>
        <w:rPr>
          <w:bCs/>
        </w:rPr>
      </w:pPr>
      <w:commentRangeStart w:id="2"/>
      <w:r>
        <w:rPr>
          <w:b/>
          <w:bCs/>
        </w:rPr>
        <w:t>摘  要：</w:t>
      </w:r>
      <w:r>
        <w:rPr>
          <w:rFonts w:hint="eastAsia"/>
          <w:bCs/>
        </w:rPr>
        <w:t>本文利用上证50ETF期权数据，计算出不同剩余期限和行权价格的隐含波动率偏差，将基差、期权交易量和看涨看跌比率分别作为投资者情绪、绝对流动性和相对流动性的代理变量。研究结果表明：（1）投资者情绪是影响隐含波动率偏差的最主要因素，且行权价格较小的近月期权对其最为敏感；（2）在时间序列维度上，期权交易量和看跌看涨比率只能够解释一部分隐含波动率偏差的变化，这种关系依赖于投资者情绪的变动；（3）看涨看跌比率在横截面维度有一定的解释力度。我们还将隐含波动率偏差与未来现货和期货的超额收益率进行回归，发现该指标与未来超额收益率正相关。</w:t>
      </w:r>
    </w:p>
    <w:p>
      <w:pPr>
        <w:keepNext w:val="0"/>
        <w:keepLines w:val="0"/>
        <w:pageBreakBefore w:val="0"/>
        <w:widowControl/>
        <w:kinsoku/>
        <w:wordWrap/>
        <w:overflowPunct/>
        <w:topLinePunct w:val="0"/>
        <w:autoSpaceDE/>
        <w:autoSpaceDN/>
        <w:bidi w:val="0"/>
        <w:adjustRightInd/>
        <w:snapToGrid/>
        <w:spacing w:line="400" w:lineRule="exact"/>
        <w:ind w:firstLine="472" w:firstLineChars="196"/>
        <w:textAlignment w:val="auto"/>
        <w:rPr>
          <w:bCs/>
        </w:rPr>
      </w:pPr>
      <w:r>
        <w:rPr>
          <w:rFonts w:hint="eastAsia"/>
          <w:b/>
          <w:bCs/>
        </w:rPr>
        <w:t>关键词：</w:t>
      </w:r>
      <w:r>
        <w:rPr>
          <w:rFonts w:hint="eastAsia"/>
          <w:bCs/>
        </w:rPr>
        <w:t>隐含波动率偏差；投资者情绪；流动性约束</w:t>
      </w:r>
      <w:commentRangeEnd w:id="2"/>
      <w:r>
        <w:commentReference w:id="2"/>
      </w:r>
    </w:p>
    <w:p>
      <w:pPr>
        <w:spacing w:line="360" w:lineRule="auto"/>
        <w:ind w:firstLine="470" w:firstLineChars="196"/>
        <w:rPr>
          <w:b/>
          <w:bCs/>
          <w:sz w:val="32"/>
          <w:szCs w:val="32"/>
        </w:rPr>
      </w:pPr>
      <w:r>
        <w:rPr>
          <w:bCs/>
        </w:rPr>
        <w:t xml:space="preserve">                           </w:t>
      </w:r>
    </w:p>
    <w:p>
      <w:pPr>
        <w:spacing w:line="360" w:lineRule="auto"/>
        <w:jc w:val="center"/>
        <w:rPr>
          <w:rFonts w:eastAsia="黑体"/>
          <w:b/>
          <w:sz w:val="32"/>
          <w:szCs w:val="32"/>
        </w:rPr>
      </w:pPr>
      <w:r>
        <w:rPr>
          <w:rFonts w:eastAsia="黑体"/>
          <w:b/>
          <w:sz w:val="32"/>
          <w:szCs w:val="32"/>
        </w:rPr>
        <w:t xml:space="preserve">Investor Sentiment, Liquidity Constraints and Option Implied Volatility Spread </w:t>
      </w:r>
    </w:p>
    <w:p>
      <w:pPr>
        <w:spacing w:line="360" w:lineRule="auto"/>
        <w:jc w:val="center"/>
        <w:rPr>
          <w:b/>
          <w:bCs/>
        </w:rPr>
      </w:pPr>
    </w:p>
    <w:p>
      <w:pPr>
        <w:keepNext w:val="0"/>
        <w:keepLines w:val="0"/>
        <w:pageBreakBefore w:val="0"/>
        <w:widowControl/>
        <w:kinsoku/>
        <w:wordWrap/>
        <w:overflowPunct/>
        <w:topLinePunct w:val="0"/>
        <w:autoSpaceDE/>
        <w:autoSpaceDN/>
        <w:bidi w:val="0"/>
        <w:adjustRightInd/>
        <w:snapToGrid/>
        <w:spacing w:line="400" w:lineRule="exact"/>
        <w:ind w:firstLine="482" w:firstLineChars="200"/>
        <w:jc w:val="both"/>
        <w:textAlignment w:val="auto"/>
      </w:pPr>
      <w:r>
        <w:rPr>
          <w:b/>
          <w:bCs/>
        </w:rPr>
        <w:t xml:space="preserve">Abstract: </w:t>
      </w:r>
      <w:r>
        <w:t>T</w:t>
      </w:r>
      <w:r>
        <w:rPr>
          <w:rFonts w:hint="eastAsia"/>
        </w:rPr>
        <w:t>his</w:t>
      </w:r>
      <w:r>
        <w:t xml:space="preserve"> paper uses the SSE 50 ETF option data to calculate the implied volatility spread of different maturities and strike prices, and use</w:t>
      </w:r>
      <w:r>
        <w:rPr>
          <w:rFonts w:hint="eastAsia"/>
        </w:rPr>
        <w:t>s</w:t>
      </w:r>
      <w:r>
        <w:t xml:space="preserve"> the future basis, </w:t>
      </w:r>
      <w:r>
        <w:rPr>
          <w:rFonts w:hint="eastAsia"/>
        </w:rPr>
        <w:t>option</w:t>
      </w:r>
      <w:r>
        <w:t xml:space="preserve"> volume and PCR as proxy for investor sentiment, absolute liquidity and relative liquidity </w:t>
      </w:r>
      <w:r>
        <w:rPr>
          <w:rFonts w:hint="eastAsia"/>
        </w:rPr>
        <w:t>respectively</w:t>
      </w:r>
      <w:r>
        <w:t xml:space="preserve">. The results show that investor sentiment is the most important proxy in explaining implied volatility spread. Options with shorter time to maturity and smaller strike price are more sensitive to sentiment. In time series regression, </w:t>
      </w:r>
      <w:r>
        <w:rPr>
          <w:rFonts w:hint="eastAsia"/>
        </w:rPr>
        <w:t>option</w:t>
      </w:r>
      <w:r>
        <w:t xml:space="preserve"> </w:t>
      </w:r>
      <w:r>
        <w:rPr>
          <w:rFonts w:hint="eastAsia"/>
        </w:rPr>
        <w:t>volume</w:t>
      </w:r>
      <w:r>
        <w:t xml:space="preserve"> and PCR can only explain part of implied volatility spread. Moreover, this relationship extremely depends on investor sentiment. Then, PCR can explain implied volatility spread in cross-section dimension. In the end, by carrying out multiple regression,</w:t>
      </w:r>
      <w:r>
        <w:rPr>
          <w:rFonts w:hint="eastAsia"/>
        </w:rPr>
        <w:t xml:space="preserve"> we</w:t>
      </w:r>
      <w:r>
        <w:t xml:space="preserve"> find that implied volatility spread and the excess return of spot and futures have significant </w:t>
      </w:r>
      <w:r>
        <w:rPr>
          <w:rFonts w:hint="eastAsia"/>
        </w:rPr>
        <w:t>positive</w:t>
      </w:r>
      <w:r>
        <w:t xml:space="preserve"> correlation</w:t>
      </w:r>
      <w:r>
        <w:rPr>
          <w:rFonts w:hint="eastAsia"/>
        </w:rPr>
        <w:t>.</w:t>
      </w:r>
    </w:p>
    <w:p>
      <w:pPr>
        <w:keepNext w:val="0"/>
        <w:keepLines w:val="0"/>
        <w:pageBreakBefore w:val="0"/>
        <w:widowControl/>
        <w:kinsoku/>
        <w:wordWrap/>
        <w:overflowPunct/>
        <w:topLinePunct w:val="0"/>
        <w:autoSpaceDE/>
        <w:autoSpaceDN/>
        <w:bidi w:val="0"/>
        <w:adjustRightInd/>
        <w:snapToGrid/>
        <w:spacing w:line="400" w:lineRule="exact"/>
        <w:ind w:left="36" w:leftChars="15" w:firstLine="482" w:firstLineChars="200"/>
        <w:jc w:val="both"/>
        <w:textAlignment w:val="auto"/>
      </w:pPr>
      <w:r>
        <w:rPr>
          <w:b/>
          <w:bCs/>
        </w:rPr>
        <w:t>Keywords:</w:t>
      </w:r>
      <w:r>
        <w:rPr>
          <w:bCs/>
        </w:rPr>
        <w:t xml:space="preserve"> Implied </w:t>
      </w:r>
      <w:r>
        <w:rPr>
          <w:rFonts w:hint="eastAsia"/>
          <w:bCs/>
          <w:lang w:val="en-US" w:eastAsia="zh-CN"/>
        </w:rPr>
        <w:t>V</w:t>
      </w:r>
      <w:r>
        <w:rPr>
          <w:bCs/>
        </w:rPr>
        <w:t xml:space="preserve">olatility </w:t>
      </w:r>
      <w:r>
        <w:rPr>
          <w:rFonts w:hint="eastAsia"/>
          <w:bCs/>
          <w:lang w:val="en-US" w:eastAsia="zh-CN"/>
        </w:rPr>
        <w:t>S</w:t>
      </w:r>
      <w:r>
        <w:rPr>
          <w:rFonts w:hint="eastAsia"/>
          <w:bCs/>
        </w:rPr>
        <w:t>pread</w:t>
      </w:r>
      <w:r>
        <w:t>,</w:t>
      </w:r>
      <w:r>
        <w:rPr>
          <w:b/>
          <w:bCs/>
        </w:rPr>
        <w:t xml:space="preserve"> </w:t>
      </w:r>
      <w:r>
        <w:rPr>
          <w:rFonts w:hint="eastAsia"/>
          <w:bCs/>
          <w:lang w:val="en-US" w:eastAsia="zh-CN"/>
        </w:rPr>
        <w:t>I</w:t>
      </w:r>
      <w:r>
        <w:rPr>
          <w:bCs/>
        </w:rPr>
        <w:t xml:space="preserve">nvestor </w:t>
      </w:r>
      <w:r>
        <w:rPr>
          <w:rFonts w:hint="eastAsia"/>
          <w:bCs/>
          <w:lang w:val="en-US" w:eastAsia="zh-CN"/>
        </w:rPr>
        <w:t>S</w:t>
      </w:r>
      <w:r>
        <w:rPr>
          <w:bCs/>
        </w:rPr>
        <w:t xml:space="preserve">entiment, </w:t>
      </w:r>
      <w:commentRangeStart w:id="3"/>
      <w:r>
        <w:rPr>
          <w:rFonts w:hint="eastAsia"/>
          <w:bCs/>
          <w:lang w:val="en-US" w:eastAsia="zh-CN"/>
        </w:rPr>
        <w:t>L</w:t>
      </w:r>
      <w:commentRangeEnd w:id="3"/>
      <w:r>
        <w:commentReference w:id="3"/>
      </w:r>
      <w:r>
        <w:rPr>
          <w:bCs/>
        </w:rPr>
        <w:t xml:space="preserve">iquidity </w:t>
      </w:r>
      <w:r>
        <w:rPr>
          <w:rFonts w:hint="eastAsia"/>
          <w:bCs/>
          <w:lang w:val="en-US" w:eastAsia="zh-CN"/>
        </w:rPr>
        <w:t>C</w:t>
      </w:r>
      <w:r>
        <w:rPr>
          <w:bCs/>
        </w:rPr>
        <w:t xml:space="preserve">onstraints </w:t>
      </w:r>
    </w:p>
    <w:p>
      <w:pPr>
        <w:ind w:firstLine="630" w:firstLineChars="196"/>
        <w:jc w:val="center"/>
        <w:rPr>
          <w:b/>
          <w:bCs/>
          <w:sz w:val="32"/>
          <w:szCs w:val="32"/>
        </w:rPr>
      </w:pPr>
    </w:p>
    <w:p>
      <w:pPr>
        <w:ind w:firstLine="627" w:firstLineChars="196"/>
        <w:jc w:val="center"/>
        <w:rPr>
          <w:b/>
          <w:bCs/>
          <w:sz w:val="32"/>
          <w:szCs w:val="32"/>
        </w:rPr>
      </w:pPr>
      <w:r>
        <w:rPr>
          <w:sz w:val="32"/>
          <w:szCs w:val="32"/>
        </w:rPr>
        <w:br w:type="page"/>
      </w:r>
    </w:p>
    <w:p>
      <w:pPr>
        <w:ind w:firstLine="630" w:firstLineChars="196"/>
        <w:jc w:val="center"/>
        <w:rPr>
          <w:rFonts w:eastAsia="黑体"/>
          <w:b/>
          <w:bCs/>
          <w:sz w:val="32"/>
          <w:szCs w:val="32"/>
        </w:rPr>
      </w:pPr>
      <w:r>
        <w:rPr>
          <w:rFonts w:eastAsia="黑体"/>
          <w:b/>
          <w:bCs/>
          <w:sz w:val="32"/>
          <w:szCs w:val="32"/>
        </w:rPr>
        <w:t>正文目录</w:t>
      </w:r>
    </w:p>
    <w:p>
      <w:pPr>
        <w:ind w:firstLine="630" w:firstLineChars="196"/>
        <w:jc w:val="center"/>
        <w:rPr>
          <w:b/>
          <w:bCs/>
          <w:sz w:val="32"/>
          <w:szCs w:val="32"/>
        </w:rPr>
      </w:pPr>
    </w:p>
    <w:p>
      <w:pPr>
        <w:pStyle w:val="7"/>
        <w:tabs>
          <w:tab w:val="right" w:leader="dot" w:pos="8296"/>
        </w:tabs>
        <w:rPr>
          <w:rFonts w:ascii="等线" w:hAnsi="等线" w:eastAsia="等线"/>
          <w:bCs w:val="0"/>
          <w:iCs w:val="0"/>
          <w:kern w:val="2"/>
          <w:sz w:val="21"/>
          <w:szCs w:val="22"/>
        </w:rPr>
      </w:pPr>
      <w:r>
        <w:t>一、 引言</w:t>
      </w:r>
      <w:r>
        <w:tab/>
      </w:r>
      <w:r>
        <w:fldChar w:fldCharType="begin"/>
      </w:r>
      <w:r>
        <w:instrText xml:space="preserve"> PAGEREF _Toc40032026 \h </w:instrText>
      </w:r>
      <w:r>
        <w:fldChar w:fldCharType="separate"/>
      </w:r>
      <w:r>
        <w:t>1</w:t>
      </w:r>
      <w:r>
        <w:fldChar w:fldCharType="end"/>
      </w:r>
    </w:p>
    <w:p>
      <w:pPr>
        <w:pStyle w:val="7"/>
        <w:tabs>
          <w:tab w:val="right" w:leader="dot" w:pos="8296"/>
        </w:tabs>
        <w:rPr>
          <w:rFonts w:ascii="等线" w:hAnsi="等线" w:eastAsia="等线"/>
          <w:bCs w:val="0"/>
          <w:iCs w:val="0"/>
          <w:kern w:val="2"/>
          <w:sz w:val="21"/>
          <w:szCs w:val="22"/>
        </w:rPr>
      </w:pPr>
      <w:r>
        <w:t>二、 文献综述</w:t>
      </w:r>
      <w:r>
        <w:tab/>
      </w:r>
      <w:r>
        <w:t>2</w:t>
      </w:r>
    </w:p>
    <w:p>
      <w:pPr>
        <w:pStyle w:val="9"/>
        <w:tabs>
          <w:tab w:val="right" w:leader="dot" w:pos="8296"/>
        </w:tabs>
        <w:ind w:firstLine="480"/>
        <w:rPr>
          <w:rFonts w:ascii="等线" w:hAnsi="等线" w:eastAsia="等线"/>
          <w:bCs w:val="0"/>
          <w:kern w:val="2"/>
          <w:sz w:val="21"/>
        </w:rPr>
      </w:pPr>
      <w:r>
        <w:t>（一） 隐含波动率偏差及其经验事实</w:t>
      </w:r>
      <w:r>
        <w:tab/>
      </w:r>
      <w:r>
        <w:t>2</w:t>
      </w:r>
    </w:p>
    <w:p>
      <w:pPr>
        <w:pStyle w:val="9"/>
        <w:tabs>
          <w:tab w:val="right" w:leader="dot" w:pos="8296"/>
        </w:tabs>
        <w:ind w:firstLine="480"/>
        <w:rPr>
          <w:rFonts w:ascii="等线" w:hAnsi="等线" w:eastAsia="等线"/>
          <w:bCs w:val="0"/>
          <w:kern w:val="2"/>
          <w:sz w:val="21"/>
        </w:rPr>
      </w:pPr>
      <w:r>
        <w:t>（二） 隐含波动率与投资者情绪</w:t>
      </w:r>
      <w:r>
        <w:tab/>
      </w:r>
      <w:r>
        <w:t>2</w:t>
      </w:r>
    </w:p>
    <w:p>
      <w:pPr>
        <w:pStyle w:val="9"/>
        <w:tabs>
          <w:tab w:val="right" w:leader="dot" w:pos="8296"/>
        </w:tabs>
        <w:ind w:firstLine="480"/>
        <w:rPr>
          <w:rFonts w:ascii="等线" w:hAnsi="等线" w:eastAsia="等线"/>
          <w:bCs w:val="0"/>
          <w:kern w:val="2"/>
          <w:sz w:val="21"/>
        </w:rPr>
      </w:pPr>
      <w:r>
        <w:t>（三） 隐含波动率与流动性约束</w:t>
      </w:r>
      <w:r>
        <w:tab/>
      </w:r>
      <w:r>
        <w:t>3</w:t>
      </w:r>
    </w:p>
    <w:p>
      <w:pPr>
        <w:pStyle w:val="9"/>
        <w:tabs>
          <w:tab w:val="right" w:leader="dot" w:pos="8296"/>
        </w:tabs>
        <w:ind w:firstLine="480"/>
        <w:rPr>
          <w:rFonts w:ascii="等线" w:hAnsi="等线" w:eastAsia="等线"/>
          <w:bCs w:val="0"/>
          <w:kern w:val="2"/>
          <w:sz w:val="21"/>
        </w:rPr>
      </w:pPr>
      <w:r>
        <w:t>（四） 总结</w:t>
      </w:r>
      <w:r>
        <w:tab/>
      </w:r>
      <w:r>
        <w:t>4</w:t>
      </w:r>
    </w:p>
    <w:p>
      <w:pPr>
        <w:pStyle w:val="7"/>
        <w:tabs>
          <w:tab w:val="right" w:leader="dot" w:pos="8296"/>
        </w:tabs>
        <w:rPr>
          <w:rFonts w:ascii="等线" w:hAnsi="等线" w:eastAsia="等线"/>
          <w:bCs w:val="0"/>
          <w:iCs w:val="0"/>
          <w:kern w:val="2"/>
          <w:sz w:val="21"/>
          <w:szCs w:val="22"/>
        </w:rPr>
      </w:pPr>
      <w:r>
        <w:t>三、 研究设计</w:t>
      </w:r>
      <w:r>
        <w:tab/>
      </w:r>
      <w:r>
        <w:t>4</w:t>
      </w:r>
    </w:p>
    <w:p>
      <w:pPr>
        <w:pStyle w:val="9"/>
        <w:tabs>
          <w:tab w:val="right" w:leader="dot" w:pos="8296"/>
        </w:tabs>
        <w:ind w:firstLine="480"/>
        <w:rPr>
          <w:rFonts w:ascii="等线" w:hAnsi="等线" w:eastAsia="等线"/>
          <w:bCs w:val="0"/>
          <w:kern w:val="2"/>
          <w:sz w:val="21"/>
        </w:rPr>
      </w:pPr>
      <w:r>
        <w:t>（一） 数据处理</w:t>
      </w:r>
      <w:r>
        <w:tab/>
      </w:r>
      <w:r>
        <w:t>4</w:t>
      </w:r>
    </w:p>
    <w:p>
      <w:pPr>
        <w:pStyle w:val="9"/>
        <w:tabs>
          <w:tab w:val="right" w:leader="dot" w:pos="8296"/>
        </w:tabs>
        <w:ind w:firstLine="480"/>
        <w:rPr>
          <w:rFonts w:ascii="等线" w:hAnsi="等线" w:eastAsia="等线"/>
          <w:bCs w:val="0"/>
          <w:kern w:val="2"/>
          <w:sz w:val="21"/>
        </w:rPr>
      </w:pPr>
      <w:r>
        <w:t>（二） 隐含波动率偏差的度量</w:t>
      </w:r>
      <w:r>
        <w:tab/>
      </w:r>
      <w:r>
        <w:t>4</w:t>
      </w:r>
    </w:p>
    <w:p>
      <w:pPr>
        <w:pStyle w:val="9"/>
        <w:tabs>
          <w:tab w:val="right" w:leader="dot" w:pos="8296"/>
        </w:tabs>
        <w:ind w:firstLine="480"/>
        <w:rPr>
          <w:rFonts w:ascii="等线" w:hAnsi="等线" w:eastAsia="等线"/>
          <w:bCs w:val="0"/>
          <w:kern w:val="2"/>
          <w:sz w:val="21"/>
        </w:rPr>
      </w:pPr>
      <w:r>
        <w:t>（三） 投资者情绪的度量</w:t>
      </w:r>
      <w:r>
        <w:tab/>
      </w:r>
      <w:r>
        <w:t>5</w:t>
      </w:r>
    </w:p>
    <w:p>
      <w:pPr>
        <w:pStyle w:val="9"/>
        <w:tabs>
          <w:tab w:val="right" w:leader="dot" w:pos="8296"/>
        </w:tabs>
        <w:ind w:firstLine="480"/>
        <w:rPr>
          <w:rFonts w:ascii="等线" w:hAnsi="等线" w:eastAsia="等线"/>
          <w:bCs w:val="0"/>
          <w:kern w:val="2"/>
          <w:sz w:val="21"/>
        </w:rPr>
      </w:pPr>
      <w:r>
        <w:t>（四） 流动性约束的度量</w:t>
      </w:r>
      <w:r>
        <w:tab/>
      </w:r>
      <w:r>
        <w:t>6</w:t>
      </w:r>
    </w:p>
    <w:p>
      <w:pPr>
        <w:pStyle w:val="7"/>
        <w:tabs>
          <w:tab w:val="right" w:leader="dot" w:pos="8296"/>
        </w:tabs>
        <w:rPr>
          <w:rFonts w:ascii="等线" w:hAnsi="等线" w:eastAsia="等线"/>
          <w:bCs w:val="0"/>
          <w:iCs w:val="0"/>
          <w:kern w:val="2"/>
          <w:sz w:val="21"/>
          <w:szCs w:val="22"/>
        </w:rPr>
      </w:pPr>
      <w:r>
        <w:t>四、 实证结果</w:t>
      </w:r>
      <w:r>
        <w:tab/>
      </w:r>
      <w:r>
        <w:t>6</w:t>
      </w:r>
    </w:p>
    <w:p>
      <w:pPr>
        <w:pStyle w:val="9"/>
        <w:tabs>
          <w:tab w:val="right" w:leader="dot" w:pos="8296"/>
        </w:tabs>
        <w:ind w:firstLine="480"/>
        <w:rPr>
          <w:rFonts w:ascii="等线" w:hAnsi="等线" w:eastAsia="等线"/>
          <w:bCs w:val="0"/>
          <w:kern w:val="2"/>
          <w:sz w:val="21"/>
        </w:rPr>
      </w:pPr>
      <w:r>
        <w:t>（一） 隐含波动率偏差与投资者情绪的研究</w:t>
      </w:r>
      <w:r>
        <w:tab/>
      </w:r>
      <w:r>
        <w:t>6</w:t>
      </w:r>
    </w:p>
    <w:p>
      <w:pPr>
        <w:pStyle w:val="9"/>
        <w:tabs>
          <w:tab w:val="right" w:leader="dot" w:pos="8296"/>
        </w:tabs>
        <w:ind w:firstLine="480"/>
        <w:rPr>
          <w:rFonts w:ascii="等线" w:hAnsi="等线" w:eastAsia="等线"/>
          <w:bCs w:val="0"/>
          <w:kern w:val="2"/>
          <w:sz w:val="21"/>
        </w:rPr>
      </w:pPr>
      <w:r>
        <w:t>（二） 隐含波动率偏差与流动性约束的研究</w:t>
      </w:r>
      <w:r>
        <w:tab/>
      </w:r>
      <w:r>
        <w:t>9</w:t>
      </w:r>
    </w:p>
    <w:p>
      <w:pPr>
        <w:pStyle w:val="9"/>
        <w:tabs>
          <w:tab w:val="right" w:leader="dot" w:pos="8296"/>
        </w:tabs>
        <w:ind w:firstLine="480"/>
        <w:rPr>
          <w:rFonts w:ascii="等线" w:hAnsi="等线" w:eastAsia="等线"/>
          <w:bCs w:val="0"/>
          <w:kern w:val="2"/>
          <w:sz w:val="21"/>
        </w:rPr>
      </w:pPr>
      <w:r>
        <w:t>（三） 隐含波动率偏差的预测能力</w:t>
      </w:r>
      <w:r>
        <w:tab/>
      </w:r>
      <w:r>
        <w:t>16</w:t>
      </w:r>
    </w:p>
    <w:p>
      <w:pPr>
        <w:pStyle w:val="7"/>
        <w:tabs>
          <w:tab w:val="right" w:leader="dot" w:pos="8296"/>
        </w:tabs>
        <w:rPr>
          <w:rFonts w:ascii="等线" w:hAnsi="等线" w:eastAsia="等线"/>
          <w:bCs w:val="0"/>
          <w:iCs w:val="0"/>
          <w:kern w:val="2"/>
          <w:sz w:val="21"/>
          <w:szCs w:val="22"/>
        </w:rPr>
      </w:pPr>
      <w:r>
        <w:t>五、 结论</w:t>
      </w:r>
      <w:r>
        <w:tab/>
      </w:r>
      <w:r>
        <w:t>17</w:t>
      </w:r>
    </w:p>
    <w:p>
      <w:pPr>
        <w:pStyle w:val="7"/>
        <w:tabs>
          <w:tab w:val="right" w:leader="dot" w:pos="8296"/>
        </w:tabs>
        <w:rPr>
          <w:rFonts w:ascii="等线" w:hAnsi="等线" w:eastAsia="等线"/>
          <w:bCs w:val="0"/>
          <w:iCs w:val="0"/>
          <w:kern w:val="2"/>
          <w:sz w:val="21"/>
          <w:szCs w:val="22"/>
        </w:rPr>
      </w:pPr>
      <w:r>
        <w:t>参考文献</w:t>
      </w:r>
      <w:r>
        <w:tab/>
      </w:r>
      <w:r>
        <w:t>18</w:t>
      </w:r>
    </w:p>
    <w:p>
      <w:pPr>
        <w:pStyle w:val="7"/>
        <w:tabs>
          <w:tab w:val="right" w:leader="dot" w:pos="8296"/>
        </w:tabs>
        <w:rPr>
          <w:rFonts w:ascii="等线" w:hAnsi="等线" w:eastAsia="等线"/>
          <w:bCs w:val="0"/>
          <w:iCs w:val="0"/>
          <w:kern w:val="2"/>
          <w:sz w:val="21"/>
          <w:szCs w:val="22"/>
        </w:rPr>
      </w:pPr>
      <w:r>
        <w:t>附录</w:t>
      </w:r>
      <w:r>
        <w:tab/>
      </w:r>
      <w:r>
        <w:t>20</w:t>
      </w: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pPr>
    </w:p>
    <w:p>
      <w:pPr>
        <w:spacing w:line="360" w:lineRule="auto"/>
        <w:ind w:firstLine="472" w:firstLineChars="196"/>
        <w:jc w:val="both"/>
        <w:rPr>
          <w:b/>
          <w:bCs/>
        </w:rPr>
        <w:sectPr>
          <w:headerReference r:id="rId6" w:type="default"/>
          <w:footerReference r:id="rId7" w:type="default"/>
          <w:footerReference r:id="rId8" w:type="even"/>
          <w:pgSz w:w="11906" w:h="16838"/>
          <w:pgMar w:top="1440" w:right="1800" w:bottom="1440" w:left="1800"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p>
      <w:pPr>
        <w:pStyle w:val="24"/>
        <w:numPr>
          <w:ilvl w:val="0"/>
          <w:numId w:val="0"/>
        </w:numPr>
        <w:spacing w:line="400" w:lineRule="exact"/>
        <w:ind w:left="425"/>
        <w:jc w:val="left"/>
      </w:pPr>
      <w:bookmarkStart w:id="0" w:name="_Toc39500762"/>
      <w:bookmarkStart w:id="1" w:name="_Toc40032026"/>
      <w:bookmarkStart w:id="2" w:name="_Toc39502271"/>
      <w:bookmarkStart w:id="3" w:name="_Toc39500879"/>
    </w:p>
    <w:p>
      <w:pPr>
        <w:pStyle w:val="24"/>
        <w:keepNext w:val="0"/>
        <w:keepLines w:val="0"/>
        <w:pageBreakBefore w:val="0"/>
        <w:widowControl/>
        <w:kinsoku/>
        <w:wordWrap/>
        <w:overflowPunct/>
        <w:topLinePunct w:val="0"/>
        <w:autoSpaceDE/>
        <w:autoSpaceDN/>
        <w:bidi w:val="0"/>
        <w:adjustRightInd/>
        <w:snapToGrid/>
        <w:spacing w:line="480" w:lineRule="auto"/>
        <w:ind w:left="425" w:hanging="425"/>
        <w:textAlignment w:val="auto"/>
      </w:pPr>
      <w:r>
        <w:rPr>
          <w:rFonts w:hint="eastAsia"/>
        </w:rPr>
        <w:t>引言</w:t>
      </w:r>
      <w:bookmarkEnd w:id="0"/>
      <w:bookmarkEnd w:id="1"/>
      <w:bookmarkEnd w:id="2"/>
      <w:bookmarkEnd w:id="3"/>
    </w:p>
    <w:p>
      <w:pPr>
        <w:pStyle w:val="24"/>
        <w:numPr>
          <w:ilvl w:val="0"/>
          <w:numId w:val="0"/>
        </w:numPr>
        <w:spacing w:line="400" w:lineRule="exact"/>
        <w:jc w:val="left"/>
      </w:pPr>
    </w:p>
    <w:p>
      <w:pPr>
        <w:pStyle w:val="28"/>
        <w:ind w:firstLine="480"/>
      </w:pPr>
      <w:r>
        <w:rPr>
          <w:rFonts w:hint="eastAsia"/>
        </w:rPr>
        <w:t>看涨看跌平价（put call parity，PCP）是金融市场上最为重要的公式之一，它给出了不同资产之间精准的无套利关系。由PCP平价可知：理想情况下，看涨期权和看跌期权的隐含波动率应该相同。但在现实世界中两者却存在偏差</w:t>
      </w:r>
      <w:r>
        <w:rPr>
          <w:rStyle w:val="16"/>
        </w:rPr>
        <w:footnoteReference w:id="0"/>
      </w:r>
      <w:r>
        <w:rPr>
          <w:rFonts w:hint="eastAsia"/>
        </w:rPr>
        <w:t>。以上证5</w:t>
      </w:r>
      <w:r>
        <w:t>0ETF</w:t>
      </w:r>
      <w:r>
        <w:rPr>
          <w:rFonts w:hint="eastAsia"/>
        </w:rPr>
        <w:t>期权为例，该市场上隐含波动率偏差基本为正。</w:t>
      </w:r>
    </w:p>
    <w:p>
      <w:pPr>
        <w:pStyle w:val="28"/>
        <w:ind w:firstLine="480"/>
      </w:pPr>
    </w:p>
    <w:p>
      <w:pPr>
        <w:pStyle w:val="24"/>
        <w:bidi w:val="0"/>
      </w:pPr>
      <w:bookmarkStart w:id="4" w:name="_Toc39502272"/>
      <w:bookmarkStart w:id="5" w:name="_Toc40032027"/>
      <w:bookmarkStart w:id="6" w:name="_Toc39500763"/>
      <w:bookmarkStart w:id="7" w:name="_Toc39500880"/>
      <w:r>
        <w:rPr>
          <w:rFonts w:hint="eastAsia"/>
        </w:rPr>
        <w:t>文献综述</w:t>
      </w:r>
      <w:bookmarkEnd w:id="4"/>
      <w:bookmarkEnd w:id="5"/>
      <w:bookmarkEnd w:id="6"/>
      <w:bookmarkEnd w:id="7"/>
    </w:p>
    <w:p>
      <w:pPr>
        <w:pStyle w:val="24"/>
        <w:numPr>
          <w:ilvl w:val="0"/>
          <w:numId w:val="0"/>
        </w:numPr>
        <w:spacing w:line="400" w:lineRule="exact"/>
        <w:ind w:left="425" w:hanging="425"/>
      </w:pPr>
    </w:p>
    <w:p>
      <w:pPr>
        <w:pStyle w:val="25"/>
        <w:ind w:firstLine="482"/>
      </w:pPr>
      <w:bookmarkStart w:id="8" w:name="_Toc39500881"/>
      <w:bookmarkStart w:id="9" w:name="_Toc39500764"/>
      <w:bookmarkStart w:id="10" w:name="_Toc39502273"/>
      <w:bookmarkStart w:id="11" w:name="_Toc40032028"/>
      <w:r>
        <w:rPr>
          <w:rFonts w:hint="eastAsia"/>
        </w:rPr>
        <w:t>隐含波动率偏差</w:t>
      </w:r>
      <w:bookmarkEnd w:id="8"/>
      <w:bookmarkEnd w:id="9"/>
      <w:bookmarkEnd w:id="10"/>
      <w:r>
        <w:rPr>
          <w:rFonts w:hint="eastAsia"/>
        </w:rPr>
        <w:t>及其经验事实</w:t>
      </w:r>
      <w:bookmarkEnd w:id="11"/>
    </w:p>
    <w:p>
      <w:pPr>
        <w:pStyle w:val="28"/>
        <w:ind w:firstLine="480"/>
      </w:pPr>
      <w:r>
        <w:rPr>
          <w:rFonts w:hint="eastAsia"/>
        </w:rPr>
        <w:t>目前隐含波动率偏差的研究仍处于起步阶段，其研究思路与传统隐含波动率指标大致相仿：一方面，学者发现该指标对未来股票和期权的收益有较好的预测能力</w:t>
      </w:r>
      <w:r>
        <w:rPr>
          <w:rFonts w:hint="eastAsia"/>
          <w:lang w:eastAsia="zh-CN"/>
        </w:rPr>
        <w:t>（</w:t>
      </w:r>
      <w:r>
        <w:rPr>
          <w:rFonts w:hint="eastAsia"/>
        </w:rPr>
        <w:t xml:space="preserve">Bali </w:t>
      </w:r>
      <w:r>
        <w:t xml:space="preserve">and </w:t>
      </w:r>
      <w:r>
        <w:rPr>
          <w:rFonts w:hint="eastAsia"/>
        </w:rPr>
        <w:t>Hovakimian</w:t>
      </w:r>
      <w:r>
        <w:rPr>
          <w:rFonts w:hint="eastAsia"/>
          <w:lang w:eastAsia="zh-CN"/>
        </w:rPr>
        <w:t>，</w:t>
      </w:r>
      <w:r>
        <w:t xml:space="preserve"> </w:t>
      </w:r>
      <w:r>
        <w:rPr>
          <w:rFonts w:hint="eastAsia"/>
        </w:rPr>
        <w:t>2009</w:t>
      </w:r>
      <w:r>
        <w:rPr>
          <w:rFonts w:hint="eastAsia"/>
          <w:lang w:eastAsia="zh-CN"/>
        </w:rPr>
        <w:t>；</w:t>
      </w:r>
      <w:r>
        <w:t xml:space="preserve"> </w:t>
      </w:r>
      <w:r>
        <w:rPr>
          <w:rFonts w:hint="eastAsia"/>
        </w:rPr>
        <w:t xml:space="preserve">Khorram </w:t>
      </w:r>
      <w:r>
        <w:t>et al.</w:t>
      </w:r>
      <w:r>
        <w:rPr>
          <w:rFonts w:hint="eastAsia"/>
          <w:lang w:eastAsia="zh-CN"/>
        </w:rPr>
        <w:t>，</w:t>
      </w:r>
      <w:r>
        <w:rPr>
          <w:rFonts w:hint="eastAsia"/>
        </w:rPr>
        <w:t xml:space="preserve"> 2019</w:t>
      </w:r>
      <w:commentRangeStart w:id="4"/>
      <w:r>
        <w:rPr>
          <w:rFonts w:hint="eastAsia"/>
          <w:lang w:eastAsia="zh-CN"/>
        </w:rPr>
        <w:t>）</w:t>
      </w:r>
      <w:commentRangeEnd w:id="4"/>
      <w:r>
        <w:commentReference w:id="4"/>
      </w:r>
      <w:r>
        <w:rPr>
          <w:rFonts w:hint="eastAsia"/>
        </w:rPr>
        <w:t>。同时，这种预测能力与公司特质风险、信息不对称程度和投资者类型等因素存在明显的关系</w:t>
      </w:r>
      <w:r>
        <w:rPr>
          <w:rFonts w:hint="eastAsia"/>
          <w:lang w:eastAsia="zh-CN"/>
        </w:rPr>
        <w:t>（</w:t>
      </w:r>
      <w:r>
        <w:rPr>
          <w:rFonts w:hint="eastAsia"/>
        </w:rPr>
        <w:t>Cremers</w:t>
      </w:r>
      <w:r>
        <w:t xml:space="preserve"> </w:t>
      </w:r>
      <w:r>
        <w:rPr>
          <w:rFonts w:hint="eastAsia"/>
        </w:rPr>
        <w:t>a</w:t>
      </w:r>
      <w:r>
        <w:t xml:space="preserve">nd </w:t>
      </w:r>
      <w:r>
        <w:rPr>
          <w:rFonts w:hint="eastAsia"/>
        </w:rPr>
        <w:t>Weinbaum</w:t>
      </w:r>
      <w:r>
        <w:rPr>
          <w:rFonts w:hint="eastAsia"/>
          <w:lang w:eastAsia="zh-CN"/>
        </w:rPr>
        <w:t>，</w:t>
      </w:r>
      <w:r>
        <w:t xml:space="preserve"> </w:t>
      </w:r>
      <w:r>
        <w:rPr>
          <w:rFonts w:hint="eastAsia"/>
        </w:rPr>
        <w:t>2010</w:t>
      </w:r>
      <w:r>
        <w:rPr>
          <w:rFonts w:hint="eastAsia"/>
          <w:lang w:eastAsia="zh-CN"/>
        </w:rPr>
        <w:t>；</w:t>
      </w:r>
      <w:r>
        <w:t xml:space="preserve"> </w:t>
      </w:r>
      <w:r>
        <w:rPr>
          <w:rFonts w:hint="eastAsia"/>
        </w:rPr>
        <w:t xml:space="preserve">Atilgan </w:t>
      </w:r>
      <w:r>
        <w:t>et al.</w:t>
      </w:r>
      <w:r>
        <w:rPr>
          <w:rFonts w:hint="eastAsia"/>
          <w:lang w:eastAsia="zh-CN"/>
        </w:rPr>
        <w:t>，</w:t>
      </w:r>
      <w:r>
        <w:t xml:space="preserve"> </w:t>
      </w:r>
      <w:r>
        <w:rPr>
          <w:rFonts w:hint="eastAsia"/>
        </w:rPr>
        <w:t>2015</w:t>
      </w:r>
      <w:r>
        <w:rPr>
          <w:rFonts w:hint="eastAsia"/>
          <w:lang w:eastAsia="zh-CN"/>
        </w:rPr>
        <w:t>；</w:t>
      </w:r>
      <w:r>
        <w:t xml:space="preserve"> </w:t>
      </w:r>
      <w:r>
        <w:rPr>
          <w:rFonts w:hint="eastAsia"/>
        </w:rPr>
        <w:t>Doran</w:t>
      </w:r>
      <w:r>
        <w:t xml:space="preserve"> et al.</w:t>
      </w:r>
      <w:r>
        <w:rPr>
          <w:rFonts w:hint="eastAsia"/>
          <w:lang w:eastAsia="zh-CN"/>
        </w:rPr>
        <w:t>，</w:t>
      </w:r>
      <w:r>
        <w:t xml:space="preserve"> </w:t>
      </w:r>
      <w:r>
        <w:rPr>
          <w:rFonts w:hint="eastAsia"/>
        </w:rPr>
        <w:t>2013</w:t>
      </w:r>
      <w:r>
        <w:rPr>
          <w:rFonts w:hint="eastAsia"/>
          <w:lang w:eastAsia="zh-CN"/>
        </w:rPr>
        <w:t>）</w:t>
      </w:r>
      <w:r>
        <w:rPr>
          <w:rFonts w:hint="eastAsia"/>
        </w:rPr>
        <w:t>。另一方面，也有一部分学者开始关注隐含波动率偏差产生的原因。Li</w:t>
      </w:r>
      <w:r>
        <w:t xml:space="preserve"> et al. </w:t>
      </w:r>
      <w:r>
        <w:rPr>
          <w:rFonts w:hint="eastAsia"/>
          <w:lang w:eastAsia="zh-CN"/>
        </w:rPr>
        <w:t>（</w:t>
      </w:r>
      <w:r>
        <w:rPr>
          <w:rFonts w:hint="eastAsia"/>
        </w:rPr>
        <w:t>2018</w:t>
      </w:r>
      <w:r>
        <w:rPr>
          <w:rFonts w:hint="eastAsia"/>
          <w:lang w:eastAsia="zh-CN"/>
        </w:rPr>
        <w:t>）</w:t>
      </w:r>
      <w:r>
        <w:rPr>
          <w:rFonts w:hint="eastAsia"/>
        </w:rPr>
        <w:t>认为隐含波动率偏差会受到现货市场历史收益率的影响，他们在上证50ETF期权市场进行了研究，发现股票市场的动量因子的确是期权市场价格压力的来源。</w:t>
      </w:r>
    </w:p>
    <w:p>
      <w:pPr>
        <w:pStyle w:val="25"/>
        <w:ind w:firstLine="482"/>
      </w:pPr>
      <w:bookmarkStart w:id="12" w:name="_Toc39500765"/>
      <w:bookmarkStart w:id="13" w:name="_Toc39500882"/>
      <w:bookmarkStart w:id="14" w:name="_Toc40032029"/>
      <w:bookmarkStart w:id="15" w:name="_Toc39502274"/>
      <w:r>
        <w:rPr>
          <w:rFonts w:hint="eastAsia"/>
        </w:rPr>
        <w:t>隐含波动率与投资者情绪</w:t>
      </w:r>
      <w:bookmarkEnd w:id="12"/>
      <w:bookmarkEnd w:id="13"/>
      <w:bookmarkEnd w:id="14"/>
      <w:bookmarkEnd w:id="15"/>
    </w:p>
    <w:p>
      <w:pPr>
        <w:pStyle w:val="28"/>
        <w:ind w:firstLine="480"/>
      </w:pPr>
      <w:r>
        <w:rPr>
          <w:rFonts w:hint="eastAsia"/>
        </w:rPr>
        <w:t>胡昌生等（2019）也对上述命题进行了讨论，他们认为中国市场发展程度和投资者结构与国外市场存在较大差异，因此在Han</w:t>
      </w:r>
      <w:r>
        <w:t xml:space="preserve"> </w:t>
      </w:r>
      <w:r>
        <w:rPr>
          <w:rFonts w:hint="eastAsia"/>
          <w:lang w:eastAsia="zh-CN"/>
        </w:rPr>
        <w:t>（</w:t>
      </w:r>
      <w:r>
        <w:rPr>
          <w:rFonts w:hint="eastAsia"/>
        </w:rPr>
        <w:t>2008</w:t>
      </w:r>
      <w:r>
        <w:rPr>
          <w:rFonts w:hint="eastAsia"/>
          <w:lang w:eastAsia="zh-CN"/>
        </w:rPr>
        <w:t>）</w:t>
      </w:r>
      <w:r>
        <w:rPr>
          <w:rFonts w:hint="eastAsia"/>
        </w:rPr>
        <w:t>的基础上对情绪代理变量进行了改进，同时通过主成分分析法分离出理性情绪和非理性情绪。他们发现目前上证50ETF期权隐含偏度包含的风险信息较少，但是该指标与市场非理性情绪却高度相关。陈蓉和林秀雀（2016）在S</w:t>
      </w:r>
      <w:r>
        <w:t>&amp;P500</w:t>
      </w:r>
      <w:r>
        <w:rPr>
          <w:rFonts w:hint="eastAsia"/>
        </w:rPr>
        <w:t>上也发现了这一现象。</w:t>
      </w:r>
    </w:p>
    <w:p>
      <w:pPr>
        <w:pStyle w:val="28"/>
        <w:ind w:firstLine="480"/>
      </w:pPr>
      <w:r>
        <w:rPr>
          <w:rFonts w:hint="eastAsia"/>
        </w:rPr>
        <w:t>有一部分学者认为投资者情绪和隐含波动率的关系会随着投资者类型不同而产生差异：个人投资者操作频繁，且大多为投机性需求，因此投资者情绪会显著影响股票期权隐含波动率的斜率；机构投资者交易频率较低，主要目的为对冲风险，因此投资者情绪对指数期权隐含波动率的斜率影响较小。Lemmon</w:t>
      </w:r>
      <w:r>
        <w:t xml:space="preserve"> </w:t>
      </w:r>
      <w:r>
        <w:rPr>
          <w:rFonts w:hint="eastAsia"/>
        </w:rPr>
        <w:t>a</w:t>
      </w:r>
      <w:r>
        <w:t xml:space="preserve">nd </w:t>
      </w:r>
      <w:r>
        <w:rPr>
          <w:rFonts w:hint="eastAsia"/>
        </w:rPr>
        <w:t>Ni</w:t>
      </w:r>
      <w:r>
        <w:t xml:space="preserve"> </w:t>
      </w:r>
      <w:r>
        <w:rPr>
          <w:rFonts w:hint="eastAsia"/>
          <w:lang w:eastAsia="zh-CN"/>
        </w:rPr>
        <w:t>（</w:t>
      </w:r>
      <w:r>
        <w:rPr>
          <w:rFonts w:hint="eastAsia"/>
        </w:rPr>
        <w:t>2008</w:t>
      </w:r>
      <w:r>
        <w:rPr>
          <w:rFonts w:hint="eastAsia"/>
          <w:lang w:eastAsia="zh-CN"/>
        </w:rPr>
        <w:t>；</w:t>
      </w:r>
      <w:r>
        <w:t xml:space="preserve"> </w:t>
      </w:r>
      <w:r>
        <w:rPr>
          <w:rFonts w:hint="eastAsia"/>
        </w:rPr>
        <w:t>2014a</w:t>
      </w:r>
      <w:r>
        <w:rPr>
          <w:rFonts w:hint="eastAsia"/>
          <w:lang w:eastAsia="zh-CN"/>
        </w:rPr>
        <w:t>）</w:t>
      </w:r>
      <w:r>
        <w:rPr>
          <w:rFonts w:hint="eastAsia"/>
        </w:rPr>
        <w:t>的研究证实了这一想法。</w:t>
      </w:r>
    </w:p>
    <w:p>
      <w:pPr>
        <w:pStyle w:val="25"/>
        <w:ind w:firstLine="482"/>
      </w:pPr>
      <w:bookmarkStart w:id="16" w:name="_Toc40032031"/>
      <w:r>
        <w:rPr>
          <w:rFonts w:hint="eastAsia"/>
        </w:rPr>
        <w:t>总结</w:t>
      </w:r>
      <w:bookmarkEnd w:id="16"/>
    </w:p>
    <w:p>
      <w:pPr>
        <w:pStyle w:val="28"/>
        <w:ind w:firstLine="480"/>
      </w:pPr>
      <w:r>
        <w:rPr>
          <w:rFonts w:hint="eastAsia"/>
        </w:rPr>
        <w:t>综上所述，国内外以隐含波动率偏差作为研究对象的论文仍是少数，绝大部分的研究对象是个股期权市场，且主要关注其对其他变量的预测能力，并没有深入挖掘其背后的影响因素。本文将立足于国内市场，对上证50ETF期权的隐含波动率偏差进行研究，并且试图弥补前人文献中不足的地方，从投资者情绪和流动性约束等视角出发，研究该指标的时变性。</w:t>
      </w:r>
    </w:p>
    <w:p>
      <w:pPr>
        <w:pStyle w:val="28"/>
        <w:ind w:firstLine="480"/>
      </w:pPr>
    </w:p>
    <w:p>
      <w:pPr>
        <w:pStyle w:val="24"/>
        <w:bidi w:val="0"/>
      </w:pPr>
      <w:bookmarkStart w:id="17" w:name="_Toc40032032"/>
      <w:bookmarkStart w:id="18" w:name="_Toc39500767"/>
      <w:bookmarkStart w:id="19" w:name="_Toc39500884"/>
      <w:bookmarkStart w:id="20" w:name="_Toc39502276"/>
      <w:r>
        <w:t>研究设计</w:t>
      </w:r>
      <w:bookmarkEnd w:id="17"/>
      <w:bookmarkEnd w:id="18"/>
      <w:bookmarkEnd w:id="19"/>
      <w:bookmarkEnd w:id="20"/>
    </w:p>
    <w:p>
      <w:pPr>
        <w:pStyle w:val="24"/>
        <w:numPr>
          <w:ilvl w:val="0"/>
          <w:numId w:val="0"/>
        </w:numPr>
        <w:spacing w:line="400" w:lineRule="exact"/>
        <w:ind w:left="425"/>
        <w:jc w:val="left"/>
      </w:pPr>
      <w:bookmarkStart w:id="21" w:name="_Toc40032033"/>
      <w:bookmarkStart w:id="22" w:name="_Toc39500885"/>
      <w:bookmarkStart w:id="23" w:name="_Toc39502277"/>
      <w:bookmarkStart w:id="24" w:name="_Toc39500768"/>
    </w:p>
    <w:p>
      <w:pPr>
        <w:pStyle w:val="25"/>
        <w:ind w:firstLine="482"/>
      </w:pPr>
      <w:r>
        <w:t>数据处理</w:t>
      </w:r>
      <w:bookmarkEnd w:id="21"/>
      <w:bookmarkEnd w:id="22"/>
      <w:bookmarkEnd w:id="23"/>
      <w:bookmarkEnd w:id="24"/>
    </w:p>
    <w:p>
      <w:pPr>
        <w:pStyle w:val="25"/>
        <w:ind w:firstLine="482"/>
      </w:pPr>
      <w:bookmarkStart w:id="25" w:name="_Toc40032034"/>
      <w:bookmarkStart w:id="26" w:name="_Toc39502278"/>
      <w:bookmarkStart w:id="27" w:name="_Toc39500769"/>
      <w:bookmarkStart w:id="28" w:name="_Toc39500886"/>
      <w:r>
        <w:rPr>
          <w:rFonts w:hint="eastAsia"/>
        </w:rPr>
        <w:t>隐含波动率偏差的度量</w:t>
      </w:r>
      <w:bookmarkEnd w:id="25"/>
      <w:bookmarkEnd w:id="26"/>
      <w:bookmarkEnd w:id="27"/>
      <w:bookmarkEnd w:id="28"/>
    </w:p>
    <w:p>
      <w:pPr>
        <w:pStyle w:val="28"/>
        <w:ind w:firstLine="480"/>
      </w:pPr>
      <w:r>
        <w:rPr>
          <w:rFonts w:hint="eastAsia"/>
        </w:rPr>
        <w:t>隐含波动率偏差（implied volatility spread</w:t>
      </w:r>
      <w:r>
        <w:rPr>
          <w:rFonts w:hint="eastAsia"/>
          <w:lang w:eastAsia="zh-CN"/>
        </w:rPr>
        <w:t>，</w:t>
      </w:r>
      <w:r>
        <w:rPr>
          <w:rFonts w:hint="eastAsia"/>
        </w:rPr>
        <w:t>IVS）指的是剩余期限和行权价格相同的看跌期权和看涨期权的隐含波动率之差，</w:t>
      </w:r>
      <w:bookmarkStart w:id="29" w:name="_Hlk39849083"/>
      <w:r>
        <w:rPr>
          <w:rFonts w:hint="eastAsia"/>
        </w:rPr>
        <w:t>即</w:t>
      </w:r>
      <w:r>
        <w:rPr>
          <w:position w:val="-14"/>
        </w:rPr>
        <w:object>
          <v:shape id="_x0000_i1025" o:spt="75" type="#_x0000_t75" style="height:19.2pt;width:102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bookmarkEnd w:id="29"/>
      <w:r>
        <w:rPr>
          <w:rFonts w:hint="eastAsia"/>
        </w:rPr>
        <w:t>。根据看涨看跌平价可知：在理想情况下，两者的隐含波动率应该相等。由上式可以看出，隐含波动率偏差为正，代表看跌期权相对看涨期权被高估，市场情绪较为悲观。如果看跌期权的隐含波动率明显高于看涨期权，投资者可以通过P</w:t>
      </w:r>
      <w:r>
        <w:t>CP平价复制出更加便宜的</w:t>
      </w:r>
      <w:r>
        <w:rPr>
          <w:rFonts w:hint="eastAsia"/>
        </w:rPr>
        <w:t>“看跌期权”，从而通过套利抹平偏差。</w:t>
      </w:r>
    </w:p>
    <w:p>
      <w:pPr>
        <w:pStyle w:val="28"/>
        <w:ind w:firstLine="480"/>
      </w:pPr>
      <w:r>
        <w:rPr>
          <w:rFonts w:hint="eastAsia"/>
        </w:rPr>
        <w:t>表1归纳了不同剩余期限和行权价格的隐含波动率偏差的描述性统计。由表1可得：从均值来看，绝大多数期权隐含波动率偏差均为正值，这表明50ETF期权市场的看跌情绪要胜于看涨情绪。进一步地：在近月合约中，行权价格较小的期权隐含波动率偏差正值最为明显，行权价格大的期权隐含波动率偏差为负。</w:t>
      </w:r>
    </w:p>
    <w:p>
      <w:pPr>
        <w:spacing w:line="400" w:lineRule="exact"/>
        <w:ind w:firstLine="422" w:firstLineChars="200"/>
        <w:jc w:val="center"/>
        <w:rPr>
          <w:b/>
          <w:bCs/>
          <w:sz w:val="21"/>
          <w:szCs w:val="21"/>
        </w:rPr>
      </w:pPr>
      <w:r>
        <w:rPr>
          <w:b/>
          <w:bCs/>
          <w:sz w:val="21"/>
          <w:szCs w:val="21"/>
        </w:rPr>
        <w:t>表1</w:t>
      </w:r>
      <w:r>
        <w:rPr>
          <w:rFonts w:hint="eastAsia"/>
          <w:b/>
          <w:bCs/>
          <w:sz w:val="21"/>
          <w:szCs w:val="21"/>
        </w:rPr>
        <w:t xml:space="preserve"> </w:t>
      </w:r>
      <w:r>
        <w:rPr>
          <w:b/>
          <w:bCs/>
          <w:sz w:val="21"/>
          <w:szCs w:val="21"/>
        </w:rPr>
        <w:t xml:space="preserve"> 隐含波动率偏差的描述性统计</w:t>
      </w:r>
    </w:p>
    <w:tbl>
      <w:tblPr>
        <w:tblStyle w:val="11"/>
        <w:tblW w:w="5000" w:type="pct"/>
        <w:tblInd w:w="0" w:type="dxa"/>
        <w:shd w:val="clear" w:color="auto" w:fill="FFFFFF"/>
        <w:tblLayout w:type="autofit"/>
        <w:tblCellMar>
          <w:top w:w="0" w:type="dxa"/>
          <w:left w:w="108" w:type="dxa"/>
          <w:bottom w:w="0" w:type="dxa"/>
          <w:right w:w="108" w:type="dxa"/>
        </w:tblCellMar>
      </w:tblPr>
      <w:tblGrid>
        <w:gridCol w:w="1899"/>
        <w:gridCol w:w="1352"/>
        <w:gridCol w:w="1324"/>
        <w:gridCol w:w="1352"/>
        <w:gridCol w:w="1352"/>
        <w:gridCol w:w="1243"/>
      </w:tblGrid>
      <w:tr>
        <w:tblPrEx>
          <w:shd w:val="clear" w:color="auto" w:fill="FFFFFF"/>
          <w:tblCellMar>
            <w:top w:w="0" w:type="dxa"/>
            <w:left w:w="108" w:type="dxa"/>
            <w:bottom w:w="0" w:type="dxa"/>
            <w:right w:w="108" w:type="dxa"/>
          </w:tblCellMar>
        </w:tblPrEx>
        <w:tc>
          <w:tcPr>
            <w:tcW w:w="1115"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变量</w:t>
            </w:r>
          </w:p>
        </w:tc>
        <w:tc>
          <w:tcPr>
            <w:tcW w:w="793"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均值</w:t>
            </w:r>
          </w:p>
        </w:tc>
        <w:tc>
          <w:tcPr>
            <w:tcW w:w="777"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标准差</w:t>
            </w:r>
          </w:p>
        </w:tc>
        <w:tc>
          <w:tcPr>
            <w:tcW w:w="793"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25%</w:t>
            </w:r>
          </w:p>
        </w:tc>
        <w:tc>
          <w:tcPr>
            <w:tcW w:w="793"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50%</w:t>
            </w:r>
          </w:p>
        </w:tc>
        <w:tc>
          <w:tcPr>
            <w:tcW w:w="729" w:type="pct"/>
            <w:tcBorders>
              <w:top w:val="single" w:color="auto" w:sz="12" w:space="0"/>
              <w:left w:val="nil"/>
              <w:bottom w:val="nil"/>
              <w:right w:val="nil"/>
            </w:tcBorders>
            <w:shd w:val="clear" w:color="auto" w:fill="FFFFFF"/>
          </w:tcPr>
          <w:p>
            <w:pPr>
              <w:ind w:firstLine="420"/>
              <w:rPr>
                <w:b/>
                <w:bCs/>
                <w:kern w:val="2"/>
                <w:sz w:val="21"/>
                <w:szCs w:val="21"/>
              </w:rPr>
            </w:pPr>
            <w:r>
              <w:rPr>
                <w:kern w:val="2"/>
                <w:sz w:val="21"/>
                <w:szCs w:val="21"/>
              </w:rPr>
              <w:t>75%</w:t>
            </w:r>
          </w:p>
        </w:tc>
      </w:tr>
      <w:tr>
        <w:tblPrEx>
          <w:shd w:val="clear" w:color="auto" w:fill="FFFFFF"/>
          <w:tblCellMar>
            <w:top w:w="0" w:type="dxa"/>
            <w:left w:w="108" w:type="dxa"/>
            <w:bottom w:w="0" w:type="dxa"/>
            <w:right w:w="108" w:type="dxa"/>
          </w:tblCellMar>
        </w:tblPrEx>
        <w:tc>
          <w:tcPr>
            <w:tcW w:w="5000" w:type="pct"/>
            <w:gridSpan w:val="6"/>
            <w:tcBorders>
              <w:top w:val="nil"/>
              <w:left w:val="nil"/>
              <w:bottom w:val="nil"/>
              <w:right w:val="nil"/>
            </w:tcBorders>
            <w:shd w:val="clear" w:color="auto" w:fill="FFFFFF"/>
          </w:tcPr>
          <w:p>
            <w:pPr>
              <w:ind w:firstLine="420"/>
              <w:rPr>
                <w:b/>
                <w:bCs/>
                <w:kern w:val="2"/>
                <w:sz w:val="21"/>
                <w:szCs w:val="21"/>
              </w:rPr>
            </w:pPr>
            <w:r>
              <w:rPr>
                <w:kern w:val="2"/>
                <w:sz w:val="21"/>
                <w:szCs w:val="21"/>
              </w:rPr>
              <w:t>子表1：剩余期限1</w:t>
            </w:r>
          </w:p>
        </w:tc>
      </w:tr>
      <w:tr>
        <w:tblPrEx>
          <w:shd w:val="clear" w:color="auto" w:fill="FFFFFF"/>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0.0226</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0.0614</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-0.0181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0.0044</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0.0418</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行权价格2</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0.0050</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0.0254</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-0.0116</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0.0021</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0.0181</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行权价格3</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-0.0019</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0.0573</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-0.0221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0.0037</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0.0295</w:t>
            </w:r>
          </w:p>
        </w:tc>
      </w:tr>
      <w:tr>
        <w:tblPrEx>
          <w:shd w:val="clear" w:color="auto" w:fill="FFFFFF"/>
          <w:tblCellMar>
            <w:top w:w="0" w:type="dxa"/>
            <w:left w:w="108" w:type="dxa"/>
            <w:bottom w:w="0" w:type="dxa"/>
            <w:right w:w="108" w:type="dxa"/>
          </w:tblCellMar>
        </w:tblPrEx>
        <w:tc>
          <w:tcPr>
            <w:tcW w:w="5000" w:type="pct"/>
            <w:gridSpan w:val="6"/>
            <w:tcBorders>
              <w:top w:val="nil"/>
              <w:left w:val="nil"/>
              <w:bottom w:val="nil"/>
              <w:right w:val="nil"/>
            </w:tcBorders>
            <w:shd w:val="clear" w:color="auto" w:fill="FFFFFF"/>
          </w:tcPr>
          <w:p>
            <w:pPr>
              <w:ind w:firstLine="420"/>
              <w:rPr>
                <w:b/>
                <w:bCs/>
                <w:kern w:val="2"/>
                <w:sz w:val="21"/>
                <w:szCs w:val="21"/>
              </w:rPr>
            </w:pPr>
            <w:r>
              <w:rPr>
                <w:kern w:val="2"/>
                <w:sz w:val="21"/>
                <w:szCs w:val="21"/>
              </w:rPr>
              <w:t>子表2：剩余期限2</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0.0055</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0.0402</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-0.0213</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-0.0027</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0.0196</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行权价格2</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0.0041</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0.0264</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-0.0155</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0.0019</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0.0212</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行权价格3</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0.0033</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0.0366</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-0.0187</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0.0015</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0.0284</w:t>
            </w:r>
          </w:p>
        </w:tc>
      </w:tr>
      <w:tr>
        <w:tblPrEx>
          <w:shd w:val="clear" w:color="auto" w:fill="FFFFFF"/>
          <w:tblCellMar>
            <w:top w:w="0" w:type="dxa"/>
            <w:left w:w="108" w:type="dxa"/>
            <w:bottom w:w="0" w:type="dxa"/>
            <w:right w:w="108" w:type="dxa"/>
          </w:tblCellMar>
        </w:tblPrEx>
        <w:tc>
          <w:tcPr>
            <w:tcW w:w="5000" w:type="pct"/>
            <w:gridSpan w:val="6"/>
            <w:tcBorders>
              <w:top w:val="nil"/>
              <w:left w:val="nil"/>
              <w:bottom w:val="nil"/>
              <w:right w:val="nil"/>
            </w:tcBorders>
            <w:shd w:val="clear" w:color="auto" w:fill="FFFFFF"/>
          </w:tcPr>
          <w:p>
            <w:pPr>
              <w:ind w:firstLine="420"/>
              <w:rPr>
                <w:b/>
                <w:bCs/>
                <w:kern w:val="2"/>
                <w:sz w:val="21"/>
                <w:szCs w:val="21"/>
              </w:rPr>
            </w:pPr>
            <w:r>
              <w:rPr>
                <w:kern w:val="2"/>
                <w:sz w:val="21"/>
                <w:szCs w:val="21"/>
              </w:rPr>
              <w:t>子表3：剩余期限3</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0.0032</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0.0397</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-0.0270</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-0.0019</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0.0213</w:t>
            </w:r>
          </w:p>
        </w:tc>
      </w:tr>
      <w:tr>
        <w:tblPrEx>
          <w:shd w:val="clear" w:color="auto" w:fill="FFFFFF"/>
          <w:tblCellMar>
            <w:top w:w="0" w:type="dxa"/>
            <w:left w:w="108" w:type="dxa"/>
            <w:bottom w:w="0" w:type="dxa"/>
            <w:right w:w="108" w:type="dxa"/>
          </w:tblCellMar>
        </w:tblPrEx>
        <w:tc>
          <w:tcPr>
            <w:tcW w:w="1115" w:type="pct"/>
            <w:tcBorders>
              <w:top w:val="nil"/>
              <w:left w:val="nil"/>
              <w:bottom w:val="nil"/>
              <w:right w:val="nil"/>
            </w:tcBorders>
            <w:shd w:val="clear" w:color="auto" w:fill="FFFFFF"/>
          </w:tcPr>
          <w:p>
            <w:pPr>
              <w:ind w:firstLine="420"/>
              <w:rPr>
                <w:b/>
                <w:bCs/>
                <w:kern w:val="2"/>
                <w:sz w:val="21"/>
                <w:szCs w:val="21"/>
              </w:rPr>
            </w:pPr>
            <w:r>
              <w:rPr>
                <w:kern w:val="2"/>
                <w:sz w:val="21"/>
                <w:szCs w:val="21"/>
              </w:rPr>
              <w:t>行权价格2</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0.0044</w:t>
            </w:r>
          </w:p>
        </w:tc>
        <w:tc>
          <w:tcPr>
            <w:tcW w:w="777" w:type="pct"/>
            <w:tcBorders>
              <w:top w:val="nil"/>
              <w:left w:val="nil"/>
              <w:bottom w:val="nil"/>
              <w:right w:val="nil"/>
            </w:tcBorders>
            <w:shd w:val="clear" w:color="auto" w:fill="FFFFFF"/>
          </w:tcPr>
          <w:p>
            <w:pPr>
              <w:ind w:firstLine="420"/>
              <w:rPr>
                <w:kern w:val="2"/>
                <w:sz w:val="21"/>
                <w:szCs w:val="21"/>
              </w:rPr>
            </w:pPr>
            <w:r>
              <w:rPr>
                <w:kern w:val="2"/>
                <w:sz w:val="21"/>
                <w:szCs w:val="21"/>
              </w:rPr>
              <w:t>0.0299</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-0.0201</w:t>
            </w:r>
          </w:p>
        </w:tc>
        <w:tc>
          <w:tcPr>
            <w:tcW w:w="793" w:type="pct"/>
            <w:tcBorders>
              <w:top w:val="nil"/>
              <w:left w:val="nil"/>
              <w:bottom w:val="nil"/>
              <w:right w:val="nil"/>
            </w:tcBorders>
            <w:shd w:val="clear" w:color="auto" w:fill="FFFFFF"/>
          </w:tcPr>
          <w:p>
            <w:pPr>
              <w:ind w:firstLine="420"/>
              <w:rPr>
                <w:kern w:val="2"/>
                <w:sz w:val="21"/>
                <w:szCs w:val="21"/>
              </w:rPr>
            </w:pPr>
            <w:r>
              <w:rPr>
                <w:kern w:val="2"/>
                <w:sz w:val="21"/>
                <w:szCs w:val="21"/>
              </w:rPr>
              <w:t>0.0023</w:t>
            </w:r>
          </w:p>
        </w:tc>
        <w:tc>
          <w:tcPr>
            <w:tcW w:w="729" w:type="pct"/>
            <w:tcBorders>
              <w:top w:val="nil"/>
              <w:left w:val="nil"/>
              <w:bottom w:val="nil"/>
              <w:right w:val="nil"/>
            </w:tcBorders>
            <w:shd w:val="clear" w:color="auto" w:fill="FFFFFF"/>
          </w:tcPr>
          <w:p>
            <w:pPr>
              <w:ind w:firstLine="420"/>
              <w:rPr>
                <w:kern w:val="2"/>
                <w:sz w:val="21"/>
                <w:szCs w:val="21"/>
              </w:rPr>
            </w:pPr>
            <w:r>
              <w:rPr>
                <w:kern w:val="2"/>
                <w:sz w:val="21"/>
                <w:szCs w:val="21"/>
              </w:rPr>
              <w:t>0.0255</w:t>
            </w:r>
          </w:p>
        </w:tc>
      </w:tr>
      <w:tr>
        <w:tblPrEx>
          <w:shd w:val="clear" w:color="auto" w:fill="FFFFFF"/>
          <w:tblCellMar>
            <w:top w:w="0" w:type="dxa"/>
            <w:left w:w="108" w:type="dxa"/>
            <w:bottom w:w="0" w:type="dxa"/>
            <w:right w:w="108" w:type="dxa"/>
          </w:tblCellMar>
        </w:tblPrEx>
        <w:tc>
          <w:tcPr>
            <w:tcW w:w="1115" w:type="pct"/>
            <w:tcBorders>
              <w:top w:val="nil"/>
              <w:left w:val="nil"/>
              <w:bottom w:val="single" w:color="auto" w:sz="12" w:space="0"/>
              <w:right w:val="nil"/>
            </w:tcBorders>
            <w:shd w:val="clear" w:color="auto" w:fill="FFFFFF"/>
          </w:tcPr>
          <w:p>
            <w:pPr>
              <w:ind w:firstLine="420"/>
              <w:rPr>
                <w:b/>
                <w:bCs/>
                <w:kern w:val="2"/>
                <w:sz w:val="21"/>
                <w:szCs w:val="21"/>
              </w:rPr>
            </w:pPr>
            <w:r>
              <w:rPr>
                <w:kern w:val="2"/>
                <w:sz w:val="21"/>
                <w:szCs w:val="21"/>
              </w:rPr>
              <w:t>行权价格3</w:t>
            </w:r>
          </w:p>
        </w:tc>
        <w:tc>
          <w:tcPr>
            <w:tcW w:w="793"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0.0035</w:t>
            </w:r>
          </w:p>
        </w:tc>
        <w:tc>
          <w:tcPr>
            <w:tcW w:w="777"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0.0343</w:t>
            </w:r>
          </w:p>
        </w:tc>
        <w:tc>
          <w:tcPr>
            <w:tcW w:w="793"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-0.0233</w:t>
            </w:r>
          </w:p>
        </w:tc>
        <w:tc>
          <w:tcPr>
            <w:tcW w:w="793"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0.0023</w:t>
            </w:r>
          </w:p>
        </w:tc>
        <w:tc>
          <w:tcPr>
            <w:tcW w:w="729" w:type="pct"/>
            <w:tcBorders>
              <w:top w:val="nil"/>
              <w:left w:val="nil"/>
              <w:bottom w:val="single" w:color="auto" w:sz="12" w:space="0"/>
              <w:right w:val="nil"/>
            </w:tcBorders>
            <w:shd w:val="clear" w:color="auto" w:fill="FFFFFF"/>
          </w:tcPr>
          <w:p>
            <w:pPr>
              <w:ind w:firstLine="420"/>
              <w:rPr>
                <w:kern w:val="2"/>
                <w:sz w:val="21"/>
                <w:szCs w:val="21"/>
              </w:rPr>
            </w:pPr>
            <w:r>
              <w:rPr>
                <w:kern w:val="2"/>
                <w:sz w:val="21"/>
                <w:szCs w:val="21"/>
              </w:rPr>
              <w:t>0.0304</w:t>
            </w:r>
            <w:r>
              <w:commentReference w:id="5"/>
            </w:r>
          </w:p>
        </w:tc>
      </w:tr>
    </w:tbl>
    <w:p>
      <w:pPr>
        <w:jc w:val="both"/>
        <w:rPr>
          <w:sz w:val="18"/>
          <w:szCs w:val="18"/>
        </w:rPr>
      </w:pPr>
      <w:r>
        <w:rPr>
          <w:rFonts w:hint="eastAsia"/>
          <w:sz w:val="18"/>
          <w:szCs w:val="18"/>
        </w:rPr>
        <w:t>注：</w:t>
      </w:r>
      <w:r>
        <w:rPr>
          <w:sz w:val="18"/>
          <w:szCs w:val="18"/>
        </w:rPr>
        <w:t>表1报告了不同期权隐含波动率偏差的描述性统计，其中子表1对应剩余期限最短的期权，子表3对应剩余期限最长的期权。在每一个子表中，按照行权价格从小到大</w:t>
      </w:r>
      <w:r>
        <w:rPr>
          <w:rFonts w:hint="eastAsia"/>
          <w:sz w:val="18"/>
          <w:szCs w:val="18"/>
        </w:rPr>
        <w:t>，将期权重新</w:t>
      </w:r>
      <w:r>
        <w:rPr>
          <w:sz w:val="18"/>
          <w:szCs w:val="18"/>
        </w:rPr>
        <w:t>分为三类，即</w:t>
      </w:r>
      <w:r>
        <w:rPr>
          <w:rFonts w:hint="eastAsia"/>
          <w:sz w:val="18"/>
          <w:szCs w:val="18"/>
        </w:rPr>
        <w:t>行权价格</w:t>
      </w:r>
      <w:r>
        <w:rPr>
          <w:sz w:val="18"/>
          <w:szCs w:val="18"/>
        </w:rPr>
        <w:t>1-3。</w:t>
      </w:r>
      <w:r>
        <w:rPr>
          <w:rFonts w:hint="eastAsia"/>
          <w:sz w:val="18"/>
          <w:szCs w:val="18"/>
        </w:rPr>
        <w:t>表中报告的参数有均值，标准差以及2</w:t>
      </w:r>
      <w:r>
        <w:rPr>
          <w:sz w:val="18"/>
          <w:szCs w:val="18"/>
        </w:rPr>
        <w:t>5</w:t>
      </w:r>
      <w:r>
        <w:rPr>
          <w:rFonts w:hint="eastAsia"/>
          <w:sz w:val="18"/>
          <w:szCs w:val="18"/>
        </w:rPr>
        <w:t>%、5</w:t>
      </w:r>
      <w:r>
        <w:rPr>
          <w:sz w:val="18"/>
          <w:szCs w:val="18"/>
        </w:rPr>
        <w:t>0</w:t>
      </w:r>
      <w:r>
        <w:rPr>
          <w:rFonts w:hint="eastAsia"/>
          <w:sz w:val="18"/>
          <w:szCs w:val="18"/>
        </w:rPr>
        <w:t>%和7</w:t>
      </w:r>
      <w:r>
        <w:rPr>
          <w:sz w:val="18"/>
          <w:szCs w:val="18"/>
        </w:rPr>
        <w:t>5</w:t>
      </w:r>
      <w:r>
        <w:rPr>
          <w:rFonts w:hint="eastAsia"/>
          <w:sz w:val="18"/>
          <w:szCs w:val="18"/>
        </w:rPr>
        <w:t>%的分位点。</w:t>
      </w:r>
    </w:p>
    <w:p>
      <w:pPr>
        <w:jc w:val="both"/>
      </w:pPr>
      <w:r>
        <w:rPr>
          <w:rFonts w:hint="eastAsia"/>
          <w:sz w:val="18"/>
          <w:szCs w:val="18"/>
        </w:rPr>
        <w:t>数据来源：</w:t>
      </w:r>
      <w:r>
        <w:rPr>
          <w:sz w:val="18"/>
          <w:szCs w:val="18"/>
        </w:rPr>
        <w:t>Wind</w:t>
      </w:r>
    </w:p>
    <w:p>
      <w:pPr>
        <w:pStyle w:val="24"/>
        <w:numPr>
          <w:ilvl w:val="0"/>
          <w:numId w:val="0"/>
        </w:numPr>
        <w:spacing w:line="400" w:lineRule="exact"/>
        <w:ind w:left="425"/>
        <w:jc w:val="left"/>
      </w:pPr>
      <w:bookmarkStart w:id="30" w:name="_Toc39502281"/>
      <w:bookmarkStart w:id="31" w:name="_Toc39500889"/>
      <w:bookmarkStart w:id="32" w:name="_Toc40032037"/>
      <w:bookmarkStart w:id="33" w:name="_Toc39500772"/>
    </w:p>
    <w:p>
      <w:pPr>
        <w:pStyle w:val="24"/>
        <w:bidi w:val="0"/>
      </w:pPr>
      <w:r>
        <w:t>实证结果</w:t>
      </w:r>
      <w:bookmarkEnd w:id="30"/>
      <w:bookmarkEnd w:id="31"/>
      <w:bookmarkEnd w:id="32"/>
      <w:bookmarkEnd w:id="33"/>
    </w:p>
    <w:p>
      <w:pPr>
        <w:pStyle w:val="24"/>
        <w:numPr>
          <w:ilvl w:val="0"/>
          <w:numId w:val="0"/>
        </w:numPr>
        <w:spacing w:line="400" w:lineRule="exact"/>
        <w:ind w:left="425"/>
        <w:jc w:val="left"/>
      </w:pPr>
    </w:p>
    <w:p>
      <w:pPr>
        <w:pStyle w:val="25"/>
        <w:ind w:firstLine="482"/>
      </w:pPr>
      <w:bookmarkStart w:id="34" w:name="_Toc39502282"/>
      <w:bookmarkStart w:id="35" w:name="_Toc39500890"/>
      <w:bookmarkStart w:id="36" w:name="_Toc40032038"/>
      <w:bookmarkStart w:id="37" w:name="_Toc39500773"/>
      <w:r>
        <w:t>隐含波动率偏差与投资者情绪的研究</w:t>
      </w:r>
      <w:bookmarkEnd w:id="34"/>
      <w:bookmarkEnd w:id="35"/>
      <w:bookmarkEnd w:id="36"/>
      <w:bookmarkEnd w:id="37"/>
    </w:p>
    <w:p>
      <w:pPr>
        <w:pStyle w:val="28"/>
        <w:ind w:firstLine="480"/>
      </w:pPr>
      <w:r>
        <w:rPr>
          <w:rFonts w:hint="eastAsia"/>
        </w:rPr>
        <w:t>我们</w:t>
      </w:r>
      <w:r>
        <w:t>取</w:t>
      </w:r>
      <w:r>
        <w:rPr>
          <w:rFonts w:hint="eastAsia"/>
        </w:rPr>
        <w:t>近月平价</w:t>
      </w:r>
      <w:r>
        <w:t>期权</w:t>
      </w:r>
      <w:r>
        <w:rPr>
          <w:rFonts w:hint="eastAsia"/>
        </w:rPr>
        <w:t>的</w:t>
      </w:r>
      <w:r>
        <w:t>隐含波动率偏差，将其与基差</w:t>
      </w:r>
      <w:r>
        <w:rPr>
          <w:rFonts w:hint="eastAsia"/>
        </w:rPr>
        <w:t>和</w:t>
      </w:r>
      <w:r>
        <w:t>ETF</w:t>
      </w:r>
      <w:r>
        <w:rPr>
          <w:rFonts w:hint="eastAsia"/>
        </w:rPr>
        <w:t>换手率</w:t>
      </w:r>
      <w:r>
        <w:t>进行绘图，结果如图1所示。</w:t>
      </w:r>
      <w:r>
        <w:rPr>
          <w:rFonts w:hint="eastAsia"/>
        </w:rPr>
        <w:t>根据图1，</w:t>
      </w:r>
      <w:r>
        <w:t>我们可以发现隐含波动率偏差与基差</w:t>
      </w:r>
      <w:r>
        <w:rPr>
          <w:rFonts w:hint="eastAsia"/>
        </w:rPr>
        <w:t>明显正相关，相关系数高达0</w:t>
      </w:r>
      <w:r>
        <w:t>.5873。这意味着当市场情绪恐慌时，期货相对于现货贴水，看跌期权的隐含波动率相对</w:t>
      </w:r>
      <w:r>
        <w:rPr>
          <w:rFonts w:hint="eastAsia"/>
        </w:rPr>
        <w:t>看涨期权</w:t>
      </w:r>
      <w:r>
        <w:t>较大</w:t>
      </w:r>
      <w:r>
        <w:rPr>
          <w:rFonts w:hint="eastAsia"/>
        </w:rPr>
        <w:t>；隐含波动率偏差与5</w:t>
      </w:r>
      <w:r>
        <w:t>0ETF</w:t>
      </w:r>
      <w:r>
        <w:rPr>
          <w:rFonts w:hint="eastAsia"/>
        </w:rPr>
        <w:t>换手率的关系不如前者明显。回归结果可见表2，</w:t>
      </w:r>
      <w:r>
        <w:t>其中</w:t>
      </w:r>
      <w:r>
        <w:rPr>
          <w:rFonts w:hint="eastAsia"/>
        </w:rPr>
        <w:t>模型</w:t>
      </w:r>
      <w:r>
        <w:t>1、3、5</w:t>
      </w:r>
      <w:r>
        <w:rPr>
          <w:rFonts w:hint="eastAsia"/>
        </w:rPr>
        <w:t>的核心变量是基差，模型</w:t>
      </w:r>
      <w:r>
        <w:t>2</w:t>
      </w:r>
      <w:r>
        <w:rPr>
          <w:rFonts w:hint="eastAsia"/>
        </w:rPr>
        <w:t>、4、6的核心变量是E</w:t>
      </w:r>
      <w:r>
        <w:t>TF</w:t>
      </w:r>
      <w:r>
        <w:rPr>
          <w:rFonts w:hint="eastAsia"/>
        </w:rPr>
        <w:t>换手率，</w:t>
      </w:r>
      <w:r>
        <w:t>具体回归方程可见式（1）</w:t>
      </w:r>
      <w:r>
        <w:rPr>
          <w:rFonts w:hint="eastAsia"/>
        </w:rPr>
        <w:t>和</w:t>
      </w:r>
      <w:r>
        <w:t>式（2）。</w:t>
      </w:r>
    </w:p>
    <w:p>
      <w:pPr>
        <w:pStyle w:val="30"/>
        <w:tabs>
          <w:tab w:val="right" w:pos="8503"/>
          <w:tab w:val="clear" w:pos="8400"/>
        </w:tabs>
        <w:ind w:right="-197" w:rightChars="-82" w:firstLine="480"/>
      </w:pPr>
      <w:r>
        <w:rPr>
          <w:position w:val="-8"/>
        </w:rPr>
        <w:pict>
          <v:shape id="_x0000_i1030" o:spt="75" type="#_x0000_t75" style="height:20.4pt;width:28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2C4BDC&quot;/&gt;&lt;wsp:rsid wsp:val=&quot;0002445B&quot;/&gt;&lt;wsp:rsid wsp:val=&quot;00034BEC&quot;/&gt;&lt;wsp:rsid wsp:val=&quot;00035307&quot;/&gt;&lt;wsp:rsid wsp:val=&quot;000373E1&quot;/&gt;&lt;wsp:rsid wsp:val=&quot;00041ED8&quot;/&gt;&lt;wsp:rsid wsp:val=&quot;00085CDE&quot;/&gt;&lt;wsp:rsid wsp:val=&quot;00086F7A&quot;/&gt;&lt;wsp:rsid wsp:val=&quot;000A34C5&quot;/&gt;&lt;wsp:rsid wsp:val=&quot;000A6FD2&quot;/&gt;&lt;wsp:rsid wsp:val=&quot;000B433D&quot;/&gt;&lt;wsp:rsid wsp:val=&quot;000F4220&quot;/&gt;&lt;wsp:rsid wsp:val=&quot;00106A43&quot;/&gt;&lt;wsp:rsid wsp:val=&quot;00122B12&quot;/&gt;&lt;wsp:rsid wsp:val=&quot;00137946&quot;/&gt;&lt;wsp:rsid wsp:val=&quot;002053A0&quot;/&gt;&lt;wsp:rsid wsp:val=&quot;00207254&quot;/&gt;&lt;wsp:rsid wsp:val=&quot;0021071D&quot;/&gt;&lt;wsp:rsid wsp:val=&quot;00224535&quot;/&gt;&lt;wsp:rsid wsp:val=&quot;00227DB3&quot;/&gt;&lt;wsp:rsid wsp:val=&quot;00262071&quot;/&gt;&lt;wsp:rsid wsp:val=&quot;002C4BDC&quot;/&gt;&lt;wsp:rsid wsp:val=&quot;002C5550&quot;/&gt;&lt;wsp:rsid wsp:val=&quot;002D37E3&quot;/&gt;&lt;wsp:rsid wsp:val=&quot;002F3AD3&quot;/&gt;&lt;wsp:rsid wsp:val=&quot;002F4F32&quot;/&gt;&lt;wsp:rsid wsp:val=&quot;00320E96&quot;/&gt;&lt;wsp:rsid wsp:val=&quot;00363815&quot;/&gt;&lt;wsp:rsid wsp:val=&quot;00363AFB&quot;/&gt;&lt;wsp:rsid wsp:val=&quot;00363F5F&quot;/&gt;&lt;wsp:rsid wsp:val=&quot;003867DB&quot;/&gt;&lt;wsp:rsid wsp:val=&quot;00391952&quot;/&gt;&lt;wsp:rsid wsp:val=&quot;00393B29&quot;/&gt;&lt;wsp:rsid wsp:val=&quot;00397355&quot;/&gt;&lt;wsp:rsid wsp:val=&quot;00463BE5&quot;/&gt;&lt;wsp:rsid wsp:val=&quot;00464547&quot;/&gt;&lt;wsp:rsid wsp:val=&quot;004A24E4&quot;/&gt;&lt;wsp:rsid wsp:val=&quot;004D103A&quot;/&gt;&lt;wsp:rsid wsp:val=&quot;004E0001&quot;/&gt;&lt;wsp:rsid wsp:val=&quot;005128C5&quot;/&gt;&lt;wsp:rsid wsp:val=&quot;0051374D&quot;/&gt;&lt;wsp:rsid wsp:val=&quot;00521AE8&quot;/&gt;&lt;wsp:rsid wsp:val=&quot;00521B6E&quot;/&gt;&lt;wsp:rsid wsp:val=&quot;00523801&quot;/&gt;&lt;wsp:rsid wsp:val=&quot;005271BB&quot;/&gt;&lt;wsp:rsid wsp:val=&quot;005A2859&quot;/&gt;&lt;wsp:rsid wsp:val=&quot;005C292E&quot;/&gt;&lt;wsp:rsid wsp:val=&quot;005D4458&quot;/&gt;&lt;wsp:rsid wsp:val=&quot;005D4E51&quot;/&gt;&lt;wsp:rsid wsp:val=&quot;005D60BE&quot;/&gt;&lt;wsp:rsid wsp:val=&quot;006029FD&quot;/&gt;&lt;wsp:rsid wsp:val=&quot;0062769A&quot;/&gt;&lt;wsp:rsid wsp:val=&quot;00684CB7&quot;/&gt;&lt;wsp:rsid wsp:val=&quot;006A0929&quot;/&gt;&lt;wsp:rsid wsp:val=&quot;006A342E&quot;/&gt;&lt;wsp:rsid wsp:val=&quot;006B706B&quot;/&gt;&lt;wsp:rsid wsp:val=&quot;007129A2&quot;/&gt;&lt;wsp:rsid wsp:val=&quot;0073625F&quot;/&gt;&lt;wsp:rsid wsp:val=&quot;00740908&quot;/&gt;&lt;wsp:rsid wsp:val=&quot;00750CC8&quot;/&gt;&lt;wsp:rsid wsp:val=&quot;0079715F&quot;/&gt;&lt;wsp:rsid wsp:val=&quot;007C3529&quot;/&gt;&lt;wsp:rsid wsp:val=&quot;007D1914&quot;/&gt;&lt;wsp:rsid wsp:val=&quot;007E283F&quot;/&gt;&lt;wsp:rsid wsp:val=&quot;007E4D90&quot;/&gt;&lt;wsp:rsid wsp:val=&quot;008059AD&quot;/&gt;&lt;wsp:rsid wsp:val=&quot;00822AEA&quot;/&gt;&lt;wsp:rsid wsp:val=&quot;00822E9C&quot;/&gt;&lt;wsp:rsid wsp:val=&quot;008233D4&quot;/&gt;&lt;wsp:rsid wsp:val=&quot;00830BFD&quot;/&gt;&lt;wsp:rsid wsp:val=&quot;00830E9A&quot;/&gt;&lt;wsp:rsid wsp:val=&quot;0083198C&quot;/&gt;&lt;wsp:rsid wsp:val=&quot;008467E9&quot;/&gt;&lt;wsp:rsid wsp:val=&quot;00851608&quot;/&gt;&lt;wsp:rsid wsp:val=&quot;00856EF9&quot;/&gt;&lt;wsp:rsid wsp:val=&quot;008C4FFE&quot;/&gt;&lt;wsp:rsid wsp:val=&quot;008D6D45&quot;/&gt;&lt;wsp:rsid wsp:val=&quot;008E5061&quot;/&gt;&lt;wsp:rsid wsp:val=&quot;008E62A5&quot;/&gt;&lt;wsp:rsid wsp:val=&quot;008E6FB9&quot;/&gt;&lt;wsp:rsid wsp:val=&quot;008F1C0E&quot;/&gt;&lt;wsp:rsid wsp:val=&quot;00900E29&quot;/&gt;&lt;wsp:rsid wsp:val=&quot;009614FC&quot;/&gt;&lt;wsp:rsid wsp:val=&quot;00A01A12&quot;/&gt;&lt;wsp:rsid wsp:val=&quot;00A23BCD&quot;/&gt;&lt;wsp:rsid wsp:val=&quot;00A84241&quot;/&gt;&lt;wsp:rsid wsp:val=&quot;00AA73CF&quot;/&gt;&lt;wsp:rsid wsp:val=&quot;00AC5439&quot;/&gt;&lt;wsp:rsid wsp:val=&quot;00AD5F8C&quot;/&gt;&lt;wsp:rsid wsp:val=&quot;00AF560D&quot;/&gt;&lt;wsp:rsid wsp:val=&quot;00B022D1&quot;/&gt;&lt;wsp:rsid wsp:val=&quot;00B07E70&quot;/&gt;&lt;wsp:rsid wsp:val=&quot;00B07EF7&quot;/&gt;&lt;wsp:rsid wsp:val=&quot;00B147CE&quot;/&gt;&lt;wsp:rsid wsp:val=&quot;00B25686&quot;/&gt;&lt;wsp:rsid wsp:val=&quot;00B31310&quot;/&gt;&lt;wsp:rsid wsp:val=&quot;00B4046B&quot;/&gt;&lt;wsp:rsid wsp:val=&quot;00B4325B&quot;/&gt;&lt;wsp:rsid wsp:val=&quot;00B65FFB&quot;/&gt;&lt;wsp:rsid wsp:val=&quot;00B77EE3&quot;/&gt;&lt;wsp:rsid wsp:val=&quot;00BA5041&quot;/&gt;&lt;wsp:rsid wsp:val=&quot;00BA626D&quot;/&gt;&lt;wsp:rsid wsp:val=&quot;00BC4C22&quot;/&gt;&lt;wsp:rsid wsp:val=&quot;00BE3E6B&quot;/&gt;&lt;wsp:rsid wsp:val=&quot;00BE5994&quot;/&gt;&lt;wsp:rsid wsp:val=&quot;00C22FF8&quot;/&gt;&lt;wsp:rsid wsp:val=&quot;00C63126&quot;/&gt;&lt;wsp:rsid wsp:val=&quot;00C71014&quot;/&gt;&lt;wsp:rsid wsp:val=&quot;00CB567D&quot;/&gt;&lt;wsp:rsid wsp:val=&quot;00CC2CC6&quot;/&gt;&lt;wsp:rsid wsp:val=&quot;00CC4A9A&quot;/&gt;&lt;wsp:rsid wsp:val=&quot;00D1077A&quot;/&gt;&lt;wsp:rsid wsp:val=&quot;00D337F2&quot;/&gt;&lt;wsp:rsid wsp:val=&quot;00D34422&quot;/&gt;&lt;wsp:rsid wsp:val=&quot;00D41236&quot;/&gt;&lt;wsp:rsid wsp:val=&quot;00D51871&quot;/&gt;&lt;wsp:rsid wsp:val=&quot;00D749C7&quot;/&gt;&lt;wsp:rsid wsp:val=&quot;00DF0D4A&quot;/&gt;&lt;wsp:rsid wsp:val=&quot;00DF42E1&quot;/&gt;&lt;wsp:rsid wsp:val=&quot;00E26691&quot;/&gt;&lt;wsp:rsid wsp:val=&quot;00E315A2&quot;/&gt;&lt;wsp:rsid wsp:val=&quot;00E47FEF&quot;/&gt;&lt;wsp:rsid wsp:val=&quot;00E651A6&quot;/&gt;&lt;wsp:rsid wsp:val=&quot;00EA5285&quot;/&gt;&lt;wsp:rsid wsp:val=&quot;00EE66F3&quot;/&gt;&lt;wsp:rsid wsp:val=&quot;00F34FFD&quot;/&gt;&lt;wsp:rsid wsp:val=&quot;00F36274&quot;/&gt;&lt;wsp:rsid wsp:val=&quot;00F862EF&quot;/&gt;&lt;wsp:rsid wsp:val=&quot;00FE6E33&quot;/&gt;&lt;wsp:rsid wsp:val=&quot;1CA83D3D&quot;/&gt;&lt;/wsp:rsids&gt;&lt;/w:docPr&gt;&lt;w:body&gt;&lt;wx:sect&gt;&lt;w:p wsp:rsidR=&quot;00000000&quot; wsp:rsidRDefault=&quot;008C4FFE&quot; wsp:rsidP=&quot;008C4FFE&quot;&gt;&lt;m:oMathPara&gt;&lt;m:oMath&gt;&lt;m:r&gt;&lt;w:rPr&gt;&lt;w:rFonts w:ascii=&quot;Cambria Math&quot;/&gt;&lt;wx:font wx:val=&quot;Cambria Math&quot;/&gt;&lt;w:i/&gt;&lt;/w:rPr&gt;&lt;m:t&gt;Sprea&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d&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CCCCCCCCCCCC/&gt;&lt;wx:font wx:val=&quot;Cambria Math&quot;/&gt;&lt;w:i/&gt;&lt;/w:rPr&gt;&lt;m:t&gt;0&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iFio=n&quot;tCsa mwb:raisac ii=&quot;Cambria Math&quot;/&gt;&lt;wx:font wx:val=&quot;Cambria Math&quot;/&gt;&lt;w:i/&gt;&lt;/w:rPr&gt;&lt;m:t&gt;1&lt;/m:t&gt;&lt;/m:r&gt;&lt;/m:sub&gt;&lt;/m:sSub&gt;&lt;m:r&gt;&lt;w:rPr&gt;&lt;w:rFonts w:ascii=&quot;Cambria Math&quot;/&gt;&lt;wx:font wx:val=&quot;Cambria Math&quot;/&gt;&lt;w:i/&gt;&lt;/w:rPr&gt;&lt;m:t&gt;F&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mS:tb&gt;&lt;r/m&lt;:r:&gt;&lt;t/ml:er&gt;&lt;&lt;m:sub&gt;&lt;m:r&gt;&lt;w:rPr&gt;&lt;w:rFonts w:ascii=&quot;Cambria Math&quot;/&gt;&lt;wx:font wx:val=&quot;Cambria Math&quot;/&gt;&lt;w:i/&gt;&lt;/w:rPr&gt;&lt;m:t&gt;2&lt;/m:t&gt;&lt;/m:r&gt;&lt;/m:sub&gt;&lt;/m:sSub&gt;&lt;m:r&gt;&lt;w:rPr&gt;&lt;w:rFonts w:asci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E&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3&lt;/m:t&gt;&lt;/m:r&gt;&lt;/m:sub&gt;&lt;/m:sSub&gt;&lt;m:r&gt;&lt;w:rPr&gt;&lt;w:rFonts w:ascii=&quot;Cambria Math&quot;/&gt;&lt;wx:font wxn:v al=:&quot;CalmbrCia bMatah&quot;/a&gt;&lt;w&quot;:i/&lt;&gt;&lt;/iw:r&lt;Pr&gt;&lt;m:t&gt;V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4&lt;/m:t&gt;&lt;/m:r&gt;&lt;/m:sub&gt;&lt;/m:sSub&gt;&lt;m:r&gt;&lt;w:rPr&gt;:&lt;w:rrFon:ts wn:ascwii=&quot;cCamb&quot;ria bMath &quot;/&gt;&lt;hwx:f&lt;ont fwx:val=&quot;Cambria Math&quot;/&gt;&lt;w:i/&gt;&lt;/w:rPr&gt;&lt;m:t&gt;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蔚&lt;/m:t&gt;&lt;/m:r&gt;&lt;/m:e&gt;&lt;m:sub&gt;&lt;m:r&gt;&lt;w:rPr&gt;&lt;w:rFonts w:ascii=&quot;Cambria Math&quot;/&gt;&lt;wx:font wx:val=&quot;Cambria Math&quot;/&gt;&lt;w:i/&gt;&lt;/w:rPr&gt;&lt;m:/t&gt;t&lt;w/m:t&gt;&gt;&lt;/m:rc&gt;&lt;/m:rsub&gt;&lt;:/m:sSPub&gt;&lt;/:m:oMa:th&gt;&lt;/:m:oMa&lt;thParo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fldChar w:fldCharType="begin"/>
      </w:r>
      <w:r>
        <w:instrText xml:space="preserve"> QUOTE </w:instrText>
      </w:r>
      <w:r>
        <w:rPr>
          <w:position w:val="-8"/>
        </w:rPr>
        <w:pict>
          <v:shape id="_x0000_i1026" o:spt="75" type="#_x0000_t75" style="height:20.4pt;width:28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2C4BDC&quot;/&gt;&lt;wsp:rsid wsp:val=&quot;0002445B&quot;/&gt;&lt;wsp:rsid wsp:val=&quot;00034BEC&quot;/&gt;&lt;wsp:rsid wsp:val=&quot;00035307&quot;/&gt;&lt;wsp:rsid wsp:val=&quot;000373E1&quot;/&gt;&lt;wsp:rsid wsp:val=&quot;00041ED8&quot;/&gt;&lt;wsp:rsid wsp:val=&quot;00085CDE&quot;/&gt;&lt;wsp:rsid wsp:val=&quot;00086F7A&quot;/&gt;&lt;wsp:rsid wsp:val=&quot;000A34C5&quot;/&gt;&lt;wsp:rsid wsp:val=&quot;000A6FD2&quot;/&gt;&lt;wsp:rsid wsp:val=&quot;000B433D&quot;/&gt;&lt;wsp:rsid wsp:val=&quot;000F4220&quot;/&gt;&lt;wsp:rsid wsp:val=&quot;00106A43&quot;/&gt;&lt;wsp:rsid wsp:val=&quot;00122B12&quot;/&gt;&lt;wsp:rsid wsp:val=&quot;00137946&quot;/&gt;&lt;wsp:rsid wsp:val=&quot;002053A0&quot;/&gt;&lt;wsp:rsid wsp:val=&quot;00207254&quot;/&gt;&lt;wsp:rsid wsp:val=&quot;0021071D&quot;/&gt;&lt;wsp:rsid wsp:val=&quot;00224535&quot;/&gt;&lt;wsp:rsid wsp:val=&quot;00227DB3&quot;/&gt;&lt;wsp:rsid wsp:val=&quot;00262071&quot;/&gt;&lt;wsp:rsid wsp:val=&quot;002C4BDC&quot;/&gt;&lt;wsp:rsid wsp:val=&quot;002C5550&quot;/&gt;&lt;wsp:rsid wsp:val=&quot;002D37E3&quot;/&gt;&lt;wsp:rsid wsp:val=&quot;002F3AD3&quot;/&gt;&lt;wsp:rsid wsp:val=&quot;002F4F32&quot;/&gt;&lt;wsp:rsid wsp:val=&quot;00320E96&quot;/&gt;&lt;wsp:rsid wsp:val=&quot;00363815&quot;/&gt;&lt;wsp:rsid wsp:val=&quot;00363AFB&quot;/&gt;&lt;wsp:rsid wsp:val=&quot;00363F5F&quot;/&gt;&lt;wsp:rsid wsp:val=&quot;003867DB&quot;/&gt;&lt;wsp:rsid wsp:val=&quot;00391952&quot;/&gt;&lt;wsp:rsid wsp:val=&quot;00393B29&quot;/&gt;&lt;wsp:rsid wsp:val=&quot;00397355&quot;/&gt;&lt;wsp:rsid wsp:val=&quot;00463BE5&quot;/&gt;&lt;wsp:rsid wsp:val=&quot;00464547&quot;/&gt;&lt;wsp:rsid wsp:val=&quot;004A24E4&quot;/&gt;&lt;wsp:rsid wsp:val=&quot;004D103A&quot;/&gt;&lt;wsp:rsid wsp:val=&quot;004E0001&quot;/&gt;&lt;wsp:rsid wsp:val=&quot;005128C5&quot;/&gt;&lt;wsp:rsid wsp:val=&quot;0051374D&quot;/&gt;&lt;wsp:rsid wsp:val=&quot;00521AE8&quot;/&gt;&lt;wsp:rsid wsp:val=&quot;00521B6E&quot;/&gt;&lt;wsp:rsid wsp:val=&quot;00523801&quot;/&gt;&lt;wsp:rsid wsp:val=&quot;005271BB&quot;/&gt;&lt;wsp:rsid wsp:val=&quot;005A2859&quot;/&gt;&lt;wsp:rsid wsp:val=&quot;005C292E&quot;/&gt;&lt;wsp:rsid wsp:val=&quot;005D4458&quot;/&gt;&lt;wsp:rsid wsp:val=&quot;005D4E51&quot;/&gt;&lt;wsp:rsid wsp:val=&quot;005D60BE&quot;/&gt;&lt;wsp:rsid wsp:val=&quot;006029FD&quot;/&gt;&lt;wsp:rsid wsp:val=&quot;0062769A&quot;/&gt;&lt;wsp:rsid wsp:val=&quot;00684CB7&quot;/&gt;&lt;wsp:rsid wsp:val=&quot;006A0929&quot;/&gt;&lt;wsp:rsid wsp:val=&quot;006A342E&quot;/&gt;&lt;wsp:rsid wsp:val=&quot;006B706B&quot;/&gt;&lt;wsp:rsid wsp:val=&quot;007129A2&quot;/&gt;&lt;wsp:rsid wsp:val=&quot;0073625F&quot;/&gt;&lt;wsp:rsid wsp:val=&quot;00740908&quot;/&gt;&lt;wsp:rsid wsp:val=&quot;00750CC8&quot;/&gt;&lt;wsp:rsid wsp:val=&quot;0079715F&quot;/&gt;&lt;wsp:rsid wsp:val=&quot;007C3529&quot;/&gt;&lt;wsp:rsid wsp:val=&quot;007D1914&quot;/&gt;&lt;wsp:rsid wsp:val=&quot;007E283F&quot;/&gt;&lt;wsp:rsid wsp:val=&quot;007E4D90&quot;/&gt;&lt;wsp:rsid wsp:val=&quot;008059AD&quot;/&gt;&lt;wsp:rsid wsp:val=&quot;00822AEA&quot;/&gt;&lt;wsp:rsid wsp:val=&quot;00822E9C&quot;/&gt;&lt;wsp:rsid wsp:val=&quot;008233D4&quot;/&gt;&lt;wsp:rsid wsp:val=&quot;00830BFD&quot;/&gt;&lt;wsp:rsid wsp:val=&quot;00830E9A&quot;/&gt;&lt;wsp:rsid wsp:val=&quot;0083198C&quot;/&gt;&lt;wsp:rsid wsp:val=&quot;008467E9&quot;/&gt;&lt;wsp:rsid wsp:val=&quot;00851608&quot;/&gt;&lt;wsp:rsid wsp:val=&quot;00856EF9&quot;/&gt;&lt;wsp:rsid wsp:val=&quot;008C4FFE&quot;/&gt;&lt;wsp:rsid wsp:val=&quot;008D6D45&quot;/&gt;&lt;wsp:rsid wsp:val=&quot;008E5061&quot;/&gt;&lt;wsp:rsid wsp:val=&quot;008E62A5&quot;/&gt;&lt;wsp:rsid wsp:val=&quot;008E6FB9&quot;/&gt;&lt;wsp:rsid wsp:val=&quot;008F1C0E&quot;/&gt;&lt;wsp:rsid wsp:val=&quot;00900E29&quot;/&gt;&lt;wsp:rsid wsp:val=&quot;009614FC&quot;/&gt;&lt;wsp:rsid wsp:val=&quot;00A01A12&quot;/&gt;&lt;wsp:rsid wsp:val=&quot;00A23BCD&quot;/&gt;&lt;wsp:rsid wsp:val=&quot;00A84241&quot;/&gt;&lt;wsp:rsid wsp:val=&quot;00AA73CF&quot;/&gt;&lt;wsp:rsid wsp:val=&quot;00AC5439&quot;/&gt;&lt;wsp:rsid wsp:val=&quot;00AD5F8C&quot;/&gt;&lt;wsp:rsid wsp:val=&quot;00AF560D&quot;/&gt;&lt;wsp:rsid wsp:val=&quot;00B022D1&quot;/&gt;&lt;wsp:rsid wsp:val=&quot;00B07E70&quot;/&gt;&lt;wsp:rsid wsp:val=&quot;00B07EF7&quot;/&gt;&lt;wsp:rsid wsp:val=&quot;00B147CE&quot;/&gt;&lt;wsp:rsid wsp:val=&quot;00B25686&quot;/&gt;&lt;wsp:rsid wsp:val=&quot;00B31310&quot;/&gt;&lt;wsp:rsid wsp:val=&quot;00B4046B&quot;/&gt;&lt;wsp:rsid wsp:val=&quot;00B4325B&quot;/&gt;&lt;wsp:rsid wsp:val=&quot;00B65FFB&quot;/&gt;&lt;wsp:rsid wsp:val=&quot;00B77EE3&quot;/&gt;&lt;wsp:rsid wsp:val=&quot;00BA5041&quot;/&gt;&lt;wsp:rsid wsp:val=&quot;00BA626D&quot;/&gt;&lt;wsp:rsid wsp:val=&quot;00BC4C22&quot;/&gt;&lt;wsp:rsid wsp:val=&quot;00BE3E6B&quot;/&gt;&lt;wsp:rsid wsp:val=&quot;00BE5994&quot;/&gt;&lt;wsp:rsid wsp:val=&quot;00C22FF8&quot;/&gt;&lt;wsp:rsid wsp:val=&quot;00C63126&quot;/&gt;&lt;wsp:rsid wsp:val=&quot;00C71014&quot;/&gt;&lt;wsp:rsid wsp:val=&quot;00CB567D&quot;/&gt;&lt;wsp:rsid wsp:val=&quot;00CC2CC6&quot;/&gt;&lt;wsp:rsid wsp:val=&quot;00CC4A9A&quot;/&gt;&lt;wsp:rsid wsp:val=&quot;00D1077A&quot;/&gt;&lt;wsp:rsid wsp:val=&quot;00D337F2&quot;/&gt;&lt;wsp:rsid wsp:val=&quot;00D34422&quot;/&gt;&lt;wsp:rsid wsp:val=&quot;00D41236&quot;/&gt;&lt;wsp:rsid wsp:val=&quot;00D51871&quot;/&gt;&lt;wsp:rsid wsp:val=&quot;00D749C7&quot;/&gt;&lt;wsp:rsid wsp:val=&quot;00DF0D4A&quot;/&gt;&lt;wsp:rsid wsp:val=&quot;00DF42E1&quot;/&gt;&lt;wsp:rsid wsp:val=&quot;00E26691&quot;/&gt;&lt;wsp:rsid wsp:val=&quot;00E315A2&quot;/&gt;&lt;wsp:rsid wsp:val=&quot;00E47FEF&quot;/&gt;&lt;wsp:rsid wsp:val=&quot;00E651A6&quot;/&gt;&lt;wsp:rsid wsp:val=&quot;00EA5285&quot;/&gt;&lt;wsp:rsid wsp:val=&quot;00EE66F3&quot;/&gt;&lt;wsp:rsid wsp:val=&quot;00F34FFD&quot;/&gt;&lt;wsp:rsid wsp:val=&quot;00F36274&quot;/&gt;&lt;wsp:rsid wsp:val=&quot;00F862EF&quot;/&gt;&lt;wsp:rsid wsp:val=&quot;00FE6E33&quot;/&gt;&lt;wsp:rsid wsp:val=&quot;1CA83D3D&quot;/&gt;&lt;/wsp:rsids&gt;&lt;/w:docPr&gt;&lt;w:body&gt;&lt;wx:sect&gt;&lt;w:p wsp:rsidR=&quot;00000000&quot; wsp:rsidRDefault=&quot;008C4FFE&quot; wsp:rsidP=&quot;008C4FFE&quot;&gt;&lt;m:oMathPara&gt;&lt;m:oMath&gt;&lt;m:r&gt;&lt;w:rPr&gt;&lt;w:rFonts w:ascii=&quot;Cambria Math&quot;/&gt;&lt;wx:font wx:val=&quot;Cambria Math&quot;/&gt;&lt;w:i/&gt;&lt;/w:rPr&gt;&lt;m:t&gt;Sprea&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d&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CCCCCCCCCCCC/&gt;&lt;wx:font wx:val=&quot;Cambria Math&quot;/&gt;&lt;w:i/&gt;&lt;/w:rPr&gt;&lt;m:t&gt;0&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iFio=n&quot;tCsa mwb:raisac ii=&quot;Cambria Math&quot;/&gt;&lt;wx:font wx:val=&quot;Cambria Math&quot;/&gt;&lt;w:i/&gt;&lt;/w:rPr&gt;&lt;m:t&gt;1&lt;/m:t&gt;&lt;/m:r&gt;&lt;/m:sub&gt;&lt;/m:sSub&gt;&lt;m:r&gt;&lt;w:rPr&gt;&lt;w:rFonts w:ascii=&quot;Cambria Math&quot;/&gt;&lt;wx:font wx:val=&quot;Cambria Math&quot;/&gt;&lt;w:i/&gt;&lt;/w:rPr&gt;&lt;m:t&gt;F&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mS:tb&gt;&lt;r/m&lt;:r:&gt;&lt;t/ml:er&gt;&lt;&lt;m:sub&gt;&lt;m:r&gt;&lt;w:rPr&gt;&lt;w:rFonts w:ascii=&quot;Cambria Math&quot;/&gt;&lt;wx:font wx:val=&quot;Cambria Math&quot;/&gt;&lt;w:i/&gt;&lt;/w:rPr&gt;&lt;m:t&gt;2&lt;/m:t&gt;&lt;/m:r&gt;&lt;/m:sub&gt;&lt;/m:sSub&gt;&lt;m:r&gt;&lt;w:rPr&gt;&lt;w:rFonts w:asci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E&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3&lt;/m:t&gt;&lt;/m:r&gt;&lt;/m:sub&gt;&lt;/m:sSub&gt;&lt;m:r&gt;&lt;w:rPr&gt;&lt;w:rFonts w:ascii=&quot;Cambria Math&quot;/&gt;&lt;wx:font wxn:v al=:&quot;CalmbrCia bMatah&quot;/a&gt;&lt;w&quot;:i/&lt;&gt;&lt;/iw:r&lt;Pr&gt;&lt;m:t&gt;V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4&lt;/m:t&gt;&lt;/m:r&gt;&lt;/m:sub&gt;&lt;/m:sSub&gt;&lt;m:r&gt;&lt;w:rPr&gt;:&lt;w:rrFon:ts wn:ascwii=&quot;cCamb&quot;ria bMath &quot;/&gt;&lt;hwx:f&lt;ont fwx:val=&quot;Cambria Math&quot;/&gt;&lt;w:i/&gt;&lt;/w:rPr&gt;&lt;m:t&gt;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蔚&lt;/m:t&gt;&lt;/m:r&gt;&lt;/m:e&gt;&lt;m:sub&gt;&lt;m:r&gt;&lt;w:rPr&gt;&lt;w:rFonts w:ascii=&quot;Cambria Math&quot;/&gt;&lt;wx:font wx:val=&quot;Cambria Math&quot;/&gt;&lt;w:i/&gt;&lt;/w:rPr&gt;&lt;m:/t&gt;t&lt;w/m:t&gt;&gt;&lt;/m:rc&gt;&lt;/m:rsub&gt;&lt;:/m:sSPub&gt;&lt;/:m:oMa:th&gt;&lt;/:m:oMa&lt;thParo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fldChar w:fldCharType="end"/>
      </w:r>
      <w:r>
        <w:tab/>
      </w:r>
      <w:r>
        <w:t xml:space="preserve">      </w:t>
      </w:r>
      <w:r>
        <w:rPr>
          <w:rFonts w:hint="eastAsia"/>
        </w:rPr>
        <w:t>（</w:t>
      </w:r>
      <w:r>
        <w:t>1</w:t>
      </w:r>
      <w:r>
        <w:rPr>
          <w:rFonts w:hint="eastAsia"/>
        </w:rPr>
        <w:t>）</w:t>
      </w:r>
    </w:p>
    <w:p>
      <w:pPr>
        <w:pStyle w:val="30"/>
        <w:tabs>
          <w:tab w:val="right" w:pos="8503"/>
          <w:tab w:val="clear" w:pos="8400"/>
        </w:tabs>
        <w:ind w:right="-197" w:rightChars="-82" w:firstLine="480"/>
      </w:pPr>
      <w:r>
        <w:pict>
          <v:shape id="图片 14" o:spid="_x0000_s2054" o:spt="75" type="#_x0000_t75" style="position:absolute;left:0pt;margin-left:55.1pt;margin-top:204.5pt;height:151.55pt;width:306.9pt;mso-wrap-distance-bottom:0pt;mso-wrap-distance-top:0pt;z-index:251659264;mso-width-relative:margin;mso-height-relative:margin;" filled="f" o:preferrelative="t" stroked="f" coordsize="21600,21600">
            <v:path/>
            <v:fill on="f" focussize="0,0"/>
            <v:stroke on="f" joinstyle="miter"/>
            <v:imagedata r:id="rId15" o:title=""/>
            <o:lock v:ext="edit" aspectratio="t"/>
            <w10:wrap type="topAndBottom"/>
          </v:shape>
        </w:pict>
      </w:r>
      <w:r>
        <w:pict>
          <v:shape id="图片 15" o:spid="_x0000_s2055" o:spt="75" type="#_x0000_t75" style="position:absolute;left:0pt;margin-left:55.1pt;margin-top:29.7pt;height:150.8pt;width:302.65pt;mso-wrap-distance-bottom:0pt;mso-wrap-distance-top:0pt;z-index:251659264;mso-width-relative:page;mso-height-relative:page;" filled="f" o:preferrelative="t" stroked="f" coordsize="21600,21600">
            <v:path/>
            <v:fill on="f" focussize="0,0"/>
            <v:stroke on="f" joinstyle="miter"/>
            <v:imagedata r:id="rId16" o:title=""/>
            <o:lock v:ext="edit" aspectratio="t"/>
            <w10:wrap type="topAndBottom"/>
          </v:shape>
        </w:pict>
      </w:r>
      <w:r>
        <w:fldChar w:fldCharType="begin"/>
      </w:r>
      <w:r>
        <w:instrText xml:space="preserve"> QUOTE </w:instrText>
      </w:r>
      <w:r>
        <w:rPr>
          <w:position w:val="-8"/>
        </w:rPr>
        <w:pict>
          <v:shape id="_x0000_i1028" o:spt="75" type="#_x0000_t75" style="height:20.4pt;width:28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2C4BDC&quot;/&gt;&lt;wsp:rsid wsp:val=&quot;0002445B&quot;/&gt;&lt;wsp:rsid wsp:val=&quot;00034BEC&quot;/&gt;&lt;wsp:rsid wsp:val=&quot;00035307&quot;/&gt;&lt;wsp:rsid wsp:val=&quot;000373E1&quot;/&gt;&lt;wsp:rsid wsp:val=&quot;00041ED8&quot;/&gt;&lt;wsp:rsid wsp:val=&quot;00085CDE&quot;/&gt;&lt;wsp:rsid wsp:val=&quot;00086F7A&quot;/&gt;&lt;wsp:rsid wsp:val=&quot;000A34C5&quot;/&gt;&lt;wsp:rsid wsp:val=&quot;000A6FD2&quot;/&gt;&lt;wsp:rsid wsp:val=&quot;000B433D&quot;/&gt;&lt;wsp:rsid wsp:val=&quot;000F4220&quot;/&gt;&lt;wsp:rsid wsp:val=&quot;00106A43&quot;/&gt;&lt;wsp:rsid wsp:val=&quot;00122B12&quot;/&gt;&lt;wsp:rsid wsp:val=&quot;00137946&quot;/&gt;&lt;wsp:rsid wsp:val=&quot;002053A0&quot;/&gt;&lt;wsp:rsid wsp:val=&quot;00207254&quot;/&gt;&lt;wsp:rsid wsp:val=&quot;0021071D&quot;/&gt;&lt;wsp:rsid wsp:val=&quot;00224535&quot;/&gt;&lt;wsp:rsid wsp:val=&quot;00227DB3&quot;/&gt;&lt;wsp:rsid wsp:val=&quot;00262071&quot;/&gt;&lt;wsp:rsid wsp:val=&quot;002C4BDC&quot;/&gt;&lt;wsp:rsid wsp:val=&quot;002C5550&quot;/&gt;&lt;wsp:rsid wsp:val=&quot;002D37E3&quot;/&gt;&lt;wsp:rsid wsp:val=&quot;002F3AD3&quot;/&gt;&lt;wsp:rsid wsp:val=&quot;002F4F32&quot;/&gt;&lt;wsp:rsid wsp:val=&quot;00320E96&quot;/&gt;&lt;wsp:rsid wsp:val=&quot;00363815&quot;/&gt;&lt;wsp:rsid wsp:val=&quot;00363AFB&quot;/&gt;&lt;wsp:rsid wsp:val=&quot;00363F5F&quot;/&gt;&lt;wsp:rsid wsp:val=&quot;003867DB&quot;/&gt;&lt;wsp:rsid wsp:val=&quot;00391952&quot;/&gt;&lt;wsp:rsid wsp:val=&quot;00393B29&quot;/&gt;&lt;wsp:rsid wsp:val=&quot;00397355&quot;/&gt;&lt;wsp:rsid wsp:val=&quot;00463BE5&quot;/&gt;&lt;wsp:rsid wsp:val=&quot;00464547&quot;/&gt;&lt;wsp:rsid wsp:val=&quot;004A24E4&quot;/&gt;&lt;wsp:rsid wsp:val=&quot;004D103A&quot;/&gt;&lt;wsp:rsid wsp:val=&quot;004E0001&quot;/&gt;&lt;wsp:rsid wsp:val=&quot;005128C5&quot;/&gt;&lt;wsp:rsid wsp:val=&quot;0051374D&quot;/&gt;&lt;wsp:rsid wsp:val=&quot;00521AE8&quot;/&gt;&lt;wsp:rsid wsp:val=&quot;00521B6E&quot;/&gt;&lt;wsp:rsid wsp:val=&quot;00523801&quot;/&gt;&lt;wsp:rsid wsp:val=&quot;005271BB&quot;/&gt;&lt;wsp:rsid wsp:val=&quot;005A2859&quot;/&gt;&lt;wsp:rsid wsp:val=&quot;005C292E&quot;/&gt;&lt;wsp:rsid wsp:val=&quot;005D4458&quot;/&gt;&lt;wsp:rsid wsp:val=&quot;005D4E51&quot;/&gt;&lt;wsp:rsid wsp:val=&quot;005D60BE&quot;/&gt;&lt;wsp:rsid wsp:val=&quot;006029FD&quot;/&gt;&lt;wsp:rsid wsp:val=&quot;0062769A&quot;/&gt;&lt;wsp:rsid wsp:val=&quot;00684CB7&quot;/&gt;&lt;wsp:rsid wsp:val=&quot;006A0929&quot;/&gt;&lt;wsp:rsid wsp:val=&quot;006A342E&quot;/&gt;&lt;wsp:rsid wsp:val=&quot;006B706B&quot;/&gt;&lt;wsp:rsid wsp:val=&quot;007129A2&quot;/&gt;&lt;wsp:rsid wsp:val=&quot;0073625F&quot;/&gt;&lt;wsp:rsid wsp:val=&quot;00740908&quot;/&gt;&lt;wsp:rsid wsp:val=&quot;00750CC8&quot;/&gt;&lt;wsp:rsid wsp:val=&quot;0079715F&quot;/&gt;&lt;wsp:rsid wsp:val=&quot;007C3529&quot;/&gt;&lt;wsp:rsid wsp:val=&quot;007D1914&quot;/&gt;&lt;wsp:rsid wsp:val=&quot;007E283F&quot;/&gt;&lt;wsp:rsid wsp:val=&quot;007E4D90&quot;/&gt;&lt;wsp:rsid wsp:val=&quot;008059AD&quot;/&gt;&lt;wsp:rsid wsp:val=&quot;00822AEA&quot;/&gt;&lt;wsp:rsid wsp:val=&quot;00822E9C&quot;/&gt;&lt;wsp:rsid wsp:val=&quot;008233D4&quot;/&gt;&lt;wsp:rsid wsp:val=&quot;00830BFD&quot;/&gt;&lt;wsp:rsid wsp:val=&quot;00830E9A&quot;/&gt;&lt;wsp:rsid wsp:val=&quot;0083198C&quot;/&gt;&lt;wsp:rsid wsp:val=&quot;008467E9&quot;/&gt;&lt;wsp:rsid wsp:val=&quot;00851608&quot;/&gt;&lt;wsp:rsid wsp:val=&quot;00856EF9&quot;/&gt;&lt;wsp:rsid wsp:val=&quot;008D6D45&quot;/&gt;&lt;wsp:rsid wsp:val=&quot;008E5061&quot;/&gt;&lt;wsp:rsid wsp:val=&quot;008E62A5&quot;/&gt;&lt;wsp:rsid wsp:val=&quot;008E6FB9&quot;/&gt;&lt;wsp:rsid wsp:val=&quot;008F1C0E&quot;/&gt;&lt;wsp:rsid wsp:val=&quot;00900E29&quot;/&gt;&lt;wsp:rsid wsp:val=&quot;009614FC&quot;/&gt;&lt;wsp:rsid wsp:val=&quot;00A01A12&quot;/&gt;&lt;wsp:rsid wsp:val=&quot;00A23BCD&quot;/&gt;&lt;wsp:rsid wsp:val=&quot;00A84241&quot;/&gt;&lt;wsp:rsid wsp:val=&quot;00AA73CF&quot;/&gt;&lt;wsp:rsid wsp:val=&quot;00AC5439&quot;/&gt;&lt;wsp:rsid wsp:val=&quot;00AD5F8C&quot;/&gt;&lt;wsp:rsid wsp:val=&quot;00AF560D&quot;/&gt;&lt;wsp:rsid wsp:val=&quot;00B022D1&quot;/&gt;&lt;wsp:rsid wsp:val=&quot;00B07E70&quot;/&gt;&lt;wsp:rsid wsp:val=&quot;00B07EF7&quot;/&gt;&lt;wsp:rsid wsp:val=&quot;00B147CE&quot;/&gt;&lt;wsp:rsid wsp:val=&quot;00B25686&quot;/&gt;&lt;wsp:rsid wsp:val=&quot;00B31310&quot;/&gt;&lt;wsp:rsid wsp:val=&quot;00B4046B&quot;/&gt;&lt;wsp:rsid wsp:val=&quot;00B4325B&quot;/&gt;&lt;wsp:rsid wsp:val=&quot;00B65FFB&quot;/&gt;&lt;wsp:rsid wsp:val=&quot;00B77EE3&quot;/&gt;&lt;wsp:rsid wsp:val=&quot;00BA5041&quot;/&gt;&lt;wsp:rsid wsp:val=&quot;00BA626D&quot;/&gt;&lt;wsp:rsid wsp:val=&quot;00BC4C22&quot;/&gt;&lt;wsp:rsid wsp:val=&quot;00BE3E6B&quot;/&gt;&lt;wsp:rsid wsp:val=&quot;00BE5994&quot;/&gt;&lt;wsp:rsid wsp:val=&quot;00C22FF8&quot;/&gt;&lt;wsp:rsid wsp:val=&quot;00C63126&quot;/&gt;&lt;wsp:rsid wsp:val=&quot;00C71014&quot;/&gt;&lt;wsp:rsid wsp:val=&quot;00CB567D&quot;/&gt;&lt;wsp:rsid wsp:val=&quot;00CC2CC6&quot;/&gt;&lt;wsp:rsid wsp:val=&quot;00CC4A9A&quot;/&gt;&lt;wsp:rsid wsp:val=&quot;00D1077A&quot;/&gt;&lt;wsp:rsid wsp:val=&quot;00D337F2&quot;/&gt;&lt;wsp:rsid wsp:val=&quot;00D34422&quot;/&gt;&lt;wsp:rsid wsp:val=&quot;00D41236&quot;/&gt;&lt;wsp:rsid wsp:val=&quot;00D51871&quot;/&gt;&lt;wsp:rsid wsp:val=&quot;00D70A4B&quot;/&gt;&lt;wsp:rsid wsp:val=&quot;00D749C7&quot;/&gt;&lt;wsp:rsid wsp:val=&quot;00DF0D4A&quot;/&gt;&lt;wsp:rsid wsp:val=&quot;00DF42E1&quot;/&gt;&lt;wsp:rsid wsp:val=&quot;00E26691&quot;/&gt;&lt;wsp:rsid wsp:val=&quot;00E315A2&quot;/&gt;&lt;wsp:rsid wsp:val=&quot;00E47FEF&quot;/&gt;&lt;wsp:rsid wsp:val=&quot;00E651A6&quot;/&gt;&lt;wsp:rsid wsp:val=&quot;00EA5285&quot;/&gt;&lt;wsp:rsid wsp:val=&quot;00EE66F3&quot;/&gt;&lt;wsp:rsid wsp:val=&quot;00F34FFD&quot;/&gt;&lt;wsp:rsid wsp:val=&quot;00F36274&quot;/&gt;&lt;wsp:rsid wsp:val=&quot;00F862EF&quot;/&gt;&lt;wsp:rsid wsp:val=&quot;00FE6E33&quot;/&gt;&lt;wsp:rsid wsp:val=&quot;1CA83D3D&quot;/&gt;&lt;/wsp:rsids&gt;&lt;/w:docPr&gt;&lt;w:body&gt;&lt;wx:sect&gt;&lt;w:p wsp:rsidR=&quot;00000000&quot; wsp:rsidRDefault=&quot;00D70A4B&quot; wsp:rsidP=&quot;00D70A4B&quot;&gt;&lt;m:oMathPara&gt;&lt;m:oMath&gt;&lt;m:r&gt;&lt;w:rPr&gt;&lt;w:rFonts w:ascii=&quot;Cambria Math&quot;/&gt;&lt;wx:font wx:val=&quot;Cambria Math&quot;/&gt;&lt;w:i/&gt;&lt;/w:rPr&gt;&lt;m:t&gt;Sprea&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d&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CCCCCCCCCCCC/&gt;&lt;wx:font wx:val=&quot;Cambria Math&quot;/&gt;&lt;w:i/&gt;&lt;/w:rPr&gt;&lt;m:t&gt;0&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iFio=n&quot;tCsa mwb:raisac ii=&quot;Cambria Math&quot;/&gt;&lt;wx:font wx:val=&quot;Cambria Math&quot;/&gt;&lt;w:i/&gt;&lt;/w:rPr&gt;&lt;m:t&gt;1&lt;/m:t&gt;&lt;/m:r&gt;&lt;/m:sub&gt;&lt;/m:sSub&gt;&lt;m:r&gt;&lt;w:rPr&gt;&lt;w:rFonts w:asci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mS:tb&gt;&lt;r/m&lt;:r:&gt;&lt;t/ml:er&gt;&lt;&lt;m:sub&gt;&lt;m:r&gt;&lt;w:rPr&gt;&lt;w:rFonts w:ascii=&quot;Cambria Math&quot;/&gt;&lt;wx:font wx:val=&quot;Cambria Math&quot;/&gt;&lt;w:i/&gt;&lt;/w:rPr&gt;&lt;m:t&gt;2&lt;/m:t&gt;&lt;/m:r&gt;&lt;/m:sub&gt;&lt;/m:sSub&gt;&lt;m:r&gt;&lt;w:rPr&gt;&lt;w:rFonts w:asci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E&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3&lt;/m:t&gt;&lt;/m:r&gt;&lt;/m:sub&gt;&lt;/m:sSub&gt;&lt;m:r&gt;&lt;w:rPr&gt;&lt;w:rFonts w:ascii=&quot;Cambria Math&quot;/&gt;&lt;wx:font wxn:v al=:&quot;CalmbrCia bMatah&quot;/a&gt;&lt;w&quot;:i/&lt;&gt;&lt;/iw:r&lt;Pr&gt;&lt;m:t&gt;V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4&lt;/m:t&gt;&lt;/m:r&gt;&lt;/m:sub&gt;&lt;/m:sSub&gt;&lt;m:r&gt;&lt;w:rPr&gt;:&lt;w:rrFon:ts wn:ascwii=&quot;cCamb&quot;ria bMath &quot;/&gt;&lt;hwx:f&lt;ont fwx:val=&quot;Cambria Math&quot;/&gt;&lt;w:i/&gt;&lt;/w:rPr&gt;&lt;m:t&gt;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蔚&lt;/m:t&gt;&lt;/m:r&gt;&lt;/m:e&gt;&lt;m:sub&gt;&lt;m:r&gt;&lt;w:rPr&gt;&lt;w:rFonts w:ascii=&quot;Cambria Math&quot;/&gt;&lt;wx:font wx:val=&quot;Cambria Math&quot;/&gt;&lt;w:i/&gt;&lt;/w:rPr&gt;&lt;m:/t&gt;t&lt;w/m:t&gt;&gt;&lt;/m:rc&gt;&lt;/m:rsub&gt;&lt;:/m:sSPub&gt;&lt;/:m:oMa:th&gt;&lt;/:m:oMa&lt;thParo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instrText xml:space="preserve"> </w:instrText>
      </w:r>
      <w:r>
        <w:fldChar w:fldCharType="separate"/>
      </w:r>
      <w:r>
        <w:rPr>
          <w:position w:val="-8"/>
        </w:rPr>
        <w:pict>
          <v:shape id="_x0000_i1029" o:spt="75" type="#_x0000_t75" style="height:20.4pt;width:28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2C4BDC&quot;/&gt;&lt;wsp:rsid wsp:val=&quot;0002445B&quot;/&gt;&lt;wsp:rsid wsp:val=&quot;00034BEC&quot;/&gt;&lt;wsp:rsid wsp:val=&quot;00035307&quot;/&gt;&lt;wsp:rsid wsp:val=&quot;000373E1&quot;/&gt;&lt;wsp:rsid wsp:val=&quot;00041ED8&quot;/&gt;&lt;wsp:rsid wsp:val=&quot;00085CDE&quot;/&gt;&lt;wsp:rsid wsp:val=&quot;00086F7A&quot;/&gt;&lt;wsp:rsid wsp:val=&quot;000A34C5&quot;/&gt;&lt;wsp:rsid wsp:val=&quot;000A6FD2&quot;/&gt;&lt;wsp:rsid wsp:val=&quot;000B433D&quot;/&gt;&lt;wsp:rsid wsp:val=&quot;000F4220&quot;/&gt;&lt;wsp:rsid wsp:val=&quot;00106A43&quot;/&gt;&lt;wsp:rsid wsp:val=&quot;00122B12&quot;/&gt;&lt;wsp:rsid wsp:val=&quot;00137946&quot;/&gt;&lt;wsp:rsid wsp:val=&quot;002053A0&quot;/&gt;&lt;wsp:rsid wsp:val=&quot;00207254&quot;/&gt;&lt;wsp:rsid wsp:val=&quot;0021071D&quot;/&gt;&lt;wsp:rsid wsp:val=&quot;00224535&quot;/&gt;&lt;wsp:rsid wsp:val=&quot;00227DB3&quot;/&gt;&lt;wsp:rsid wsp:val=&quot;00262071&quot;/&gt;&lt;wsp:rsid wsp:val=&quot;002C4BDC&quot;/&gt;&lt;wsp:rsid wsp:val=&quot;002C5550&quot;/&gt;&lt;wsp:rsid wsp:val=&quot;002D37E3&quot;/&gt;&lt;wsp:rsid wsp:val=&quot;002F3AD3&quot;/&gt;&lt;wsp:rsid wsp:val=&quot;002F4F32&quot;/&gt;&lt;wsp:rsid wsp:val=&quot;00320E96&quot;/&gt;&lt;wsp:rsid wsp:val=&quot;00363815&quot;/&gt;&lt;wsp:rsid wsp:val=&quot;00363AFB&quot;/&gt;&lt;wsp:rsid wsp:val=&quot;00363F5F&quot;/&gt;&lt;wsp:rsid wsp:val=&quot;003867DB&quot;/&gt;&lt;wsp:rsid wsp:val=&quot;00391952&quot;/&gt;&lt;wsp:rsid wsp:val=&quot;00393B29&quot;/&gt;&lt;wsp:rsid wsp:val=&quot;00397355&quot;/&gt;&lt;wsp:rsid wsp:val=&quot;00463BE5&quot;/&gt;&lt;wsp:rsid wsp:val=&quot;00464547&quot;/&gt;&lt;wsp:rsid wsp:val=&quot;004A24E4&quot;/&gt;&lt;wsp:rsid wsp:val=&quot;004D103A&quot;/&gt;&lt;wsp:rsid wsp:val=&quot;004E0001&quot;/&gt;&lt;wsp:rsid wsp:val=&quot;005128C5&quot;/&gt;&lt;wsp:rsid wsp:val=&quot;0051374D&quot;/&gt;&lt;wsp:rsid wsp:val=&quot;00521AE8&quot;/&gt;&lt;wsp:rsid wsp:val=&quot;00521B6E&quot;/&gt;&lt;wsp:rsid wsp:val=&quot;00523801&quot;/&gt;&lt;wsp:rsid wsp:val=&quot;005271BB&quot;/&gt;&lt;wsp:rsid wsp:val=&quot;005A2859&quot;/&gt;&lt;wsp:rsid wsp:val=&quot;005C292E&quot;/&gt;&lt;wsp:rsid wsp:val=&quot;005D4458&quot;/&gt;&lt;wsp:rsid wsp:val=&quot;005D4E51&quot;/&gt;&lt;wsp:rsid wsp:val=&quot;005D60BE&quot;/&gt;&lt;wsp:rsid wsp:val=&quot;006029FD&quot;/&gt;&lt;wsp:rsid wsp:val=&quot;0062769A&quot;/&gt;&lt;wsp:rsid wsp:val=&quot;00684CB7&quot;/&gt;&lt;wsp:rsid wsp:val=&quot;006A0929&quot;/&gt;&lt;wsp:rsid wsp:val=&quot;006A342E&quot;/&gt;&lt;wsp:rsid wsp:val=&quot;006B706B&quot;/&gt;&lt;wsp:rsid wsp:val=&quot;007129A2&quot;/&gt;&lt;wsp:rsid wsp:val=&quot;0073625F&quot;/&gt;&lt;wsp:rsid wsp:val=&quot;00740908&quot;/&gt;&lt;wsp:rsid wsp:val=&quot;00750CC8&quot;/&gt;&lt;wsp:rsid wsp:val=&quot;0079715F&quot;/&gt;&lt;wsp:rsid wsp:val=&quot;007C3529&quot;/&gt;&lt;wsp:rsid wsp:val=&quot;007D1914&quot;/&gt;&lt;wsp:rsid wsp:val=&quot;007E283F&quot;/&gt;&lt;wsp:rsid wsp:val=&quot;007E4D90&quot;/&gt;&lt;wsp:rsid wsp:val=&quot;008059AD&quot;/&gt;&lt;wsp:rsid wsp:val=&quot;00822AEA&quot;/&gt;&lt;wsp:rsid wsp:val=&quot;00822E9C&quot;/&gt;&lt;wsp:rsid wsp:val=&quot;008233D4&quot;/&gt;&lt;wsp:rsid wsp:val=&quot;00830BFD&quot;/&gt;&lt;wsp:rsid wsp:val=&quot;00830E9A&quot;/&gt;&lt;wsp:rsid wsp:val=&quot;0083198C&quot;/&gt;&lt;wsp:rsid wsp:val=&quot;008467E9&quot;/&gt;&lt;wsp:rsid wsp:val=&quot;00851608&quot;/&gt;&lt;wsp:rsid wsp:val=&quot;00856EF9&quot;/&gt;&lt;wsp:rsid wsp:val=&quot;008D6D45&quot;/&gt;&lt;wsp:rsid wsp:val=&quot;008E5061&quot;/&gt;&lt;wsp:rsid wsp:val=&quot;008E62A5&quot;/&gt;&lt;wsp:rsid wsp:val=&quot;008E6FB9&quot;/&gt;&lt;wsp:rsid wsp:val=&quot;008F1C0E&quot;/&gt;&lt;wsp:rsid wsp:val=&quot;00900E29&quot;/&gt;&lt;wsp:rsid wsp:val=&quot;009614FC&quot;/&gt;&lt;wsp:rsid wsp:val=&quot;00A01A12&quot;/&gt;&lt;wsp:rsid wsp:val=&quot;00A23BCD&quot;/&gt;&lt;wsp:rsid wsp:val=&quot;00A84241&quot;/&gt;&lt;wsp:rsid wsp:val=&quot;00AA73CF&quot;/&gt;&lt;wsp:rsid wsp:val=&quot;00AC5439&quot;/&gt;&lt;wsp:rsid wsp:val=&quot;00AD5F8C&quot;/&gt;&lt;wsp:rsid wsp:val=&quot;00AF560D&quot;/&gt;&lt;wsp:rsid wsp:val=&quot;00B022D1&quot;/&gt;&lt;wsp:rsid wsp:val=&quot;00B07E70&quot;/&gt;&lt;wsp:rsid wsp:val=&quot;00B07EF7&quot;/&gt;&lt;wsp:rsid wsp:val=&quot;00B147CE&quot;/&gt;&lt;wsp:rsid wsp:val=&quot;00B25686&quot;/&gt;&lt;wsp:rsid wsp:val=&quot;00B31310&quot;/&gt;&lt;wsp:rsid wsp:val=&quot;00B4046B&quot;/&gt;&lt;wsp:rsid wsp:val=&quot;00B4325B&quot;/&gt;&lt;wsp:rsid wsp:val=&quot;00B65FFB&quot;/&gt;&lt;wsp:rsid wsp:val=&quot;00B77EE3&quot;/&gt;&lt;wsp:rsid wsp:val=&quot;00BA5041&quot;/&gt;&lt;wsp:rsid wsp:val=&quot;00BA626D&quot;/&gt;&lt;wsp:rsid wsp:val=&quot;00BC4C22&quot;/&gt;&lt;wsp:rsid wsp:val=&quot;00BE3E6B&quot;/&gt;&lt;wsp:rsid wsp:val=&quot;00BE5994&quot;/&gt;&lt;wsp:rsid wsp:val=&quot;00C22FF8&quot;/&gt;&lt;wsp:rsid wsp:val=&quot;00C63126&quot;/&gt;&lt;wsp:rsid wsp:val=&quot;00C71014&quot;/&gt;&lt;wsp:rsid wsp:val=&quot;00CB567D&quot;/&gt;&lt;wsp:rsid wsp:val=&quot;00CC2CC6&quot;/&gt;&lt;wsp:rsid wsp:val=&quot;00CC4A9A&quot;/&gt;&lt;wsp:rsid wsp:val=&quot;00D1077A&quot;/&gt;&lt;wsp:rsid wsp:val=&quot;00D337F2&quot;/&gt;&lt;wsp:rsid wsp:val=&quot;00D34422&quot;/&gt;&lt;wsp:rsid wsp:val=&quot;00D41236&quot;/&gt;&lt;wsp:rsid wsp:val=&quot;00D51871&quot;/&gt;&lt;wsp:rsid wsp:val=&quot;00D70A4B&quot;/&gt;&lt;wsp:rsid wsp:val=&quot;00D749C7&quot;/&gt;&lt;wsp:rsid wsp:val=&quot;00DF0D4A&quot;/&gt;&lt;wsp:rsid wsp:val=&quot;00DF42E1&quot;/&gt;&lt;wsp:rsid wsp:val=&quot;00E26691&quot;/&gt;&lt;wsp:rsid wsp:val=&quot;00E315A2&quot;/&gt;&lt;wsp:rsid wsp:val=&quot;00E47FEF&quot;/&gt;&lt;wsp:rsid wsp:val=&quot;00E651A6&quot;/&gt;&lt;wsp:rsid wsp:val=&quot;00EA5285&quot;/&gt;&lt;wsp:rsid wsp:val=&quot;00EE66F3&quot;/&gt;&lt;wsp:rsid wsp:val=&quot;00F34FFD&quot;/&gt;&lt;wsp:rsid wsp:val=&quot;00F36274&quot;/&gt;&lt;wsp:rsid wsp:val=&quot;00F862EF&quot;/&gt;&lt;wsp:rsid wsp:val=&quot;00FE6E33&quot;/&gt;&lt;wsp:rsid wsp:val=&quot;1CA83D3D&quot;/&gt;&lt;/wsp:rsids&gt;&lt;/w:docPr&gt;&lt;w:body&gt;&lt;wx:sect&gt;&lt;w:p wsp:rsidR=&quot;00000000&quot; wsp:rsidRDefault=&quot;00D70A4B&quot; wsp:rsidP=&quot;00D70A4B&quot;&gt;&lt;m:oMathPara&gt;&lt;m:oMath&gt;&lt;m:r&gt;&lt;w:rPr&gt;&lt;w:rFonts w:ascii=&quot;Cambria Math&quot;/&gt;&lt;wx:font wx:val=&quot;Cambria Math&quot;/&gt;&lt;w:i/&gt;&lt;/w:rPr&gt;&lt;m:t&gt;Sprea&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d&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CCCCCCCCCCCC/&gt;&lt;wx:font wx:val=&quot;Cambria Math&quot;/&gt;&lt;w:i/&gt;&lt;/w:rPr&gt;&lt;m:t&gt;0&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iFio=n&quot;tCsa mwb:raisac ii=&quot;Cambria Math&quot;/&gt;&lt;wx:font wx:val=&quot;Cambria Math&quot;/&gt;&lt;w:i/&gt;&lt;/w:rPr&gt;&lt;m:t&gt;1&lt;/m:t&gt;&lt;/m:r&gt;&lt;/m:sub&gt;&lt;/m:sSub&gt;&lt;m:r&gt;&lt;w:rPr&gt;&lt;w:rFonts w:ascii=&quot;Cambria Math&quot;/&gt;&lt;wx:font wx:val=&quot;Cambria Math&quot;/&gt;&lt;w:i/&gt;&lt;/w:rPr&gt;&lt;m:t&gt;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mS:tb&gt;&lt;r/m&lt;:r:&gt;&lt;t/ml:er&gt;&lt;&lt;m:sub&gt;&lt;m:r&gt;&lt;w:rPr&gt;&lt;w:rFonts w:ascii=&quot;Cambria Math&quot;/&gt;&lt;wx:font wx:val=&quot;Cambria Math&quot;/&gt;&lt;w:i/&gt;&lt;/w:rPr&gt;&lt;m:t&gt;2&lt;/m:t&gt;&lt;/m:r&gt;&lt;/m:sub&gt;&lt;/m:sSub&gt;&lt;m:r&gt;&lt;w:rPr&gt;&lt;w:rFonts w:asci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E&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3&lt;/m:t&gt;&lt;/m:r&gt;&lt;/m:sub&gt;&lt;/m:sSub&gt;&lt;m:r&gt;&lt;w:rPr&gt;&lt;w:rFonts w:ascii=&quot;Cambria Math&quot;/&gt;&lt;wx:font wxn:v al=:&quot;CalmbrCia bMatah&quot;/a&gt;&lt;w&quot;:i/&lt;&gt;&lt;/iw:r&lt;Pr&gt;&lt;m:t&gt;V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L&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尾&lt;/m:t&gt;&lt;/m:r&gt;&lt;/m:e&gt;&lt;m:sub&gt;&lt;m:r&gt;&lt;w:rPr&gt;&lt;w:rFonts w:ascii=&quot;Cambria Math&quot;/&gt;&lt;wx:font wx:val=&quot;Cambria Math&quot;/&gt;&lt;w:i/&gt;&lt;/w:rPr&gt;&lt;m:t&gt;4&lt;/m:t&gt;&lt;/m:r&gt;&lt;/m:sub&gt;&lt;/m:sSub&gt;&lt;m:r&gt;&lt;w:rPr&gt;:&lt;w:rrFon:ts wn:ascwii=&quot;cCamb&quot;ria bMath &quot;/&gt;&lt;hwx:f&lt;ont fwx:val=&quot;Cambria Math&quot;/&gt;&lt;w:i/&gt;&lt;/w:rPr&gt;&lt;m:t&gt;O&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V&lt;/m:t&gt;&lt;/m:r&gt;&lt;/m:e&gt;&lt;m:sub&gt;&lt;m:r&gt;&lt;w:rPr&gt;&lt;w:rFonts w:ascii=&quot;Cambria Math&quot;/&gt;&lt;wx:font wx:val=&quot;Cambria Math&quot;/&gt;&lt;w:i/&gt;&lt;/w:rPr&gt;&lt;m:t&gt;t&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蔚&lt;/m:t&gt;&lt;/m:r&gt;&lt;/m:e&gt;&lt;m:sub&gt;&lt;m:r&gt;&lt;w:rPr&gt;&lt;w:rFonts w:ascii=&quot;Cambria Math&quot;/&gt;&lt;wx:font wx:val=&quot;Cambria Math&quot;/&gt;&lt;w:i/&gt;&lt;/w:rPr&gt;&lt;m:/t&gt;t&lt;w/m:t&gt;&gt;&lt;/m:rc&gt;&lt;/m:rsub&gt;&lt;:/m:sSPub&gt;&lt;/:m:oMa:th&gt;&lt;/:m:oMa&lt;thParo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fldChar w:fldCharType="end"/>
      </w:r>
      <w:r>
        <w:tab/>
      </w:r>
      <w:r>
        <w:rPr>
          <w:rFonts w:hint="eastAsia"/>
        </w:rPr>
        <w:t>（</w:t>
      </w:r>
      <w:r>
        <w:t>2</w:t>
      </w:r>
      <w:r>
        <w:rPr>
          <w:rFonts w:hint="eastAsia"/>
        </w:rPr>
        <w:t>）</w:t>
      </w:r>
    </w:p>
    <w:p>
      <w:pPr>
        <w:pStyle w:val="28"/>
        <w:ind w:firstLine="2310" w:firstLineChars="1100"/>
        <w:jc w:val="left"/>
      </w:pPr>
      <w:r>
        <w:rPr>
          <w:rFonts w:hint="eastAsia"/>
          <w:sz w:val="21"/>
          <w:szCs w:val="24"/>
        </w:rPr>
        <w:t>（a）隐含波动率偏差与基差的序列图</w:t>
      </w:r>
    </w:p>
    <w:p>
      <w:pPr>
        <w:pStyle w:val="30"/>
        <w:spacing w:line="240" w:lineRule="auto"/>
        <w:ind w:firstLine="1948" w:firstLineChars="928"/>
        <w:rPr>
          <w:sz w:val="21"/>
          <w:szCs w:val="24"/>
        </w:rPr>
      </w:pPr>
      <w:r>
        <w:rPr>
          <w:rFonts w:hint="eastAsia"/>
          <w:sz w:val="21"/>
          <w:szCs w:val="24"/>
        </w:rPr>
        <w:t>图（b）隐含波动率偏差与E</w:t>
      </w:r>
      <w:r>
        <w:rPr>
          <w:sz w:val="21"/>
          <w:szCs w:val="24"/>
        </w:rPr>
        <w:t>TF</w:t>
      </w:r>
      <w:r>
        <w:rPr>
          <w:rFonts w:hint="eastAsia"/>
          <w:sz w:val="21"/>
          <w:szCs w:val="24"/>
        </w:rPr>
        <w:t>换手率的序列图</w:t>
      </w:r>
    </w:p>
    <w:p>
      <w:pPr>
        <w:spacing w:line="400" w:lineRule="exact"/>
        <w:jc w:val="center"/>
        <w:rPr>
          <w:rFonts w:ascii="宋体" w:hAnsi="宋体"/>
          <w:b/>
          <w:bCs/>
          <w:sz w:val="21"/>
          <w:szCs w:val="21"/>
        </w:rPr>
      </w:pPr>
      <w:r>
        <w:rPr>
          <w:rFonts w:ascii="宋体" w:hAnsi="宋体"/>
          <w:b/>
          <w:bCs/>
          <w:sz w:val="21"/>
          <w:szCs w:val="21"/>
        </w:rPr>
        <w:t>图1</w:t>
      </w:r>
      <w:r>
        <w:rPr>
          <w:rFonts w:hint="eastAsia" w:ascii="宋体" w:hAnsi="宋体"/>
          <w:b/>
          <w:bCs/>
          <w:sz w:val="21"/>
          <w:szCs w:val="21"/>
        </w:rPr>
        <w:t xml:space="preserve"> </w:t>
      </w:r>
      <w:r>
        <w:rPr>
          <w:rFonts w:ascii="宋体" w:hAnsi="宋体"/>
          <w:b/>
          <w:bCs/>
          <w:sz w:val="21"/>
          <w:szCs w:val="21"/>
        </w:rPr>
        <w:t>隐含波动率偏差与基差</w:t>
      </w:r>
      <w:r>
        <w:rPr>
          <w:rFonts w:hint="eastAsia" w:ascii="宋体" w:hAnsi="宋体"/>
          <w:b/>
          <w:bCs/>
          <w:sz w:val="21"/>
          <w:szCs w:val="21"/>
        </w:rPr>
        <w:t>/</w:t>
      </w:r>
      <w:r>
        <w:rPr>
          <w:rFonts w:ascii="宋体" w:hAnsi="宋体"/>
          <w:b/>
          <w:bCs/>
          <w:sz w:val="21"/>
          <w:szCs w:val="21"/>
        </w:rPr>
        <w:t>ETF</w:t>
      </w:r>
      <w:r>
        <w:rPr>
          <w:rFonts w:hint="eastAsia" w:ascii="宋体" w:hAnsi="宋体"/>
          <w:b/>
          <w:bCs/>
          <w:sz w:val="21"/>
          <w:szCs w:val="21"/>
        </w:rPr>
        <w:t>换手率的序列图</w:t>
      </w:r>
    </w:p>
    <w:p>
      <w:pPr>
        <w:pStyle w:val="30"/>
        <w:spacing w:line="240" w:lineRule="auto"/>
        <w:ind w:firstLine="0" w:firstLineChars="0"/>
        <w:rPr>
          <w:sz w:val="18"/>
          <w:szCs w:val="18"/>
        </w:rPr>
      </w:pPr>
      <w:r>
        <w:rPr>
          <w:sz w:val="18"/>
          <w:szCs w:val="18"/>
        </w:rPr>
        <w:t>注：图1描绘了2017年1月-2020年2月近月平价期权隐含波动率偏差与基差/ETF换手率之间的序列图，其中图（a）是隐含波动率偏差与基差，图（b）是隐含波动率偏差与ETF换手率。</w:t>
      </w:r>
    </w:p>
    <w:p>
      <w:pPr>
        <w:pStyle w:val="30"/>
        <w:spacing w:line="240" w:lineRule="auto"/>
        <w:ind w:firstLine="0" w:firstLineChars="0"/>
        <w:rPr>
          <w:sz w:val="18"/>
          <w:szCs w:val="18"/>
        </w:rPr>
      </w:pPr>
      <w:r>
        <w:rPr>
          <w:sz w:val="18"/>
          <w:szCs w:val="18"/>
        </w:rPr>
        <w:t>数据来源：Wind</w:t>
      </w:r>
    </w:p>
    <w:p>
      <w:pPr>
        <w:pStyle w:val="28"/>
        <w:ind w:firstLine="480"/>
      </w:pPr>
      <w:r>
        <w:t>由表2的回归结果可得：第一，在不同剩余期限和在值程度上，投资者情绪与期权隐含波动率偏差</w:t>
      </w:r>
      <w:r>
        <w:rPr>
          <w:rFonts w:hint="eastAsia"/>
        </w:rPr>
        <w:t>之间的关系十分显著，其中基差的系数为正，E</w:t>
      </w:r>
      <w:r>
        <w:t>TF</w:t>
      </w:r>
      <w:r>
        <w:rPr>
          <w:rFonts w:hint="eastAsia"/>
        </w:rPr>
        <w:t>换手率系数为负。这表明，</w:t>
      </w:r>
      <w:r>
        <w:t>当</w:t>
      </w:r>
      <w:r>
        <w:rPr>
          <w:rFonts w:hint="eastAsia"/>
        </w:rPr>
        <w:t>投资者</w:t>
      </w:r>
      <w:r>
        <w:t>悲观时，期货会相对于现货贴水，同时</w:t>
      </w:r>
      <w:r>
        <w:rPr>
          <w:rFonts w:hint="eastAsia"/>
        </w:rPr>
        <w:t>看跌期权的交易量和隐含波动率大幅上升，</w:t>
      </w:r>
      <w:r>
        <w:t>最终导致隐含波动率偏差增加</w:t>
      </w:r>
      <w:r>
        <w:rPr>
          <w:rFonts w:hint="eastAsia"/>
        </w:rPr>
        <w:t>；当市场情绪乐观时，现货市场的交易活跃度和换手率会增大，同时看跌期权的交易量和隐含波动率相对回落，导致隐含波动率偏差减小。</w:t>
      </w:r>
    </w:p>
    <w:p>
      <w:pPr>
        <w:pStyle w:val="28"/>
        <w:ind w:firstLine="480"/>
      </w:pPr>
      <w:r>
        <w:t>第二，在同一剩余期限上，行权价格较小的期权</w:t>
      </w:r>
      <w:r>
        <w:rPr>
          <w:rFonts w:hint="eastAsia"/>
        </w:rPr>
        <w:t>系数较大，这表明该类期权</w:t>
      </w:r>
      <w:r>
        <w:t>对于投资者情绪的变化更为敏感。</w:t>
      </w:r>
      <w:r>
        <w:rPr>
          <w:rFonts w:hint="eastAsia"/>
        </w:rPr>
        <w:t>这是因为，行权价格较小的区域对应虚值看跌期权和实值看涨期权，相对于平值期权和实值期权，</w:t>
      </w:r>
      <w:r>
        <w:t>投资者会更加偏好价格</w:t>
      </w:r>
      <w:r>
        <w:rPr>
          <w:rFonts w:hint="eastAsia"/>
        </w:rPr>
        <w:t>更</w:t>
      </w:r>
      <w:r>
        <w:t>低同时流动性</w:t>
      </w:r>
      <w:r>
        <w:rPr>
          <w:rFonts w:hint="eastAsia"/>
        </w:rPr>
        <w:t>更</w:t>
      </w:r>
      <w:r>
        <w:t>好的虚值期权</w:t>
      </w:r>
      <w:r>
        <w:rPr>
          <w:rFonts w:hint="eastAsia"/>
        </w:rPr>
        <w:t>。同时从总体上来说看跌期权的隐含波动率一般大于看涨期权隐含波动率，</w:t>
      </w:r>
      <w:r>
        <w:t>因此行权价格较小的</w:t>
      </w:r>
      <w:r>
        <w:rPr>
          <w:rFonts w:hint="eastAsia"/>
        </w:rPr>
        <w:t>虚值看跌</w:t>
      </w:r>
      <w:r>
        <w:t>期权更能反映投资者情绪的波动。</w:t>
      </w:r>
    </w:p>
    <w:p>
      <w:pPr>
        <w:ind w:right="630"/>
        <w:jc w:val="center"/>
        <w:rPr>
          <w:sz w:val="21"/>
          <w:szCs w:val="21"/>
        </w:rPr>
      </w:pPr>
      <w:r>
        <w:rPr>
          <w:b/>
          <w:bCs/>
          <w:sz w:val="21"/>
          <w:szCs w:val="21"/>
        </w:rPr>
        <w:t>表2  隐含波动率偏差与基差/ETF换手率的回归结果</w:t>
      </w:r>
    </w:p>
    <w:tbl>
      <w:tblPr>
        <w:tblStyle w:val="11"/>
        <w:tblW w:w="0" w:type="auto"/>
        <w:jc w:val="center"/>
        <w:shd w:val="clear" w:color="auto" w:fill="FFFFFF"/>
        <w:tblLayout w:type="autofit"/>
        <w:tblCellMar>
          <w:top w:w="0" w:type="dxa"/>
          <w:left w:w="108" w:type="dxa"/>
          <w:bottom w:w="0" w:type="dxa"/>
          <w:right w:w="108" w:type="dxa"/>
        </w:tblCellMar>
      </w:tblPr>
      <w:tblGrid>
        <w:gridCol w:w="1557"/>
        <w:gridCol w:w="1116"/>
        <w:gridCol w:w="138"/>
        <w:gridCol w:w="1018"/>
        <w:gridCol w:w="138"/>
        <w:gridCol w:w="988"/>
        <w:gridCol w:w="115"/>
        <w:gridCol w:w="1001"/>
        <w:gridCol w:w="80"/>
        <w:gridCol w:w="1036"/>
        <w:gridCol w:w="36"/>
        <w:gridCol w:w="1083"/>
      </w:tblGrid>
      <w:tr>
        <w:tblPrEx>
          <w:shd w:val="clear" w:color="auto" w:fill="FFFFFF"/>
          <w:tblCellMar>
            <w:top w:w="0" w:type="dxa"/>
            <w:left w:w="108" w:type="dxa"/>
            <w:bottom w:w="0" w:type="dxa"/>
            <w:right w:w="108" w:type="dxa"/>
          </w:tblCellMar>
        </w:tblPrEx>
        <w:trPr>
          <w:trHeight w:val="284" w:hRule="atLeast"/>
          <w:jc w:val="center"/>
        </w:trPr>
        <w:tc>
          <w:tcPr>
            <w:tcW w:w="8306" w:type="dxa"/>
            <w:gridSpan w:val="12"/>
            <w:tcBorders>
              <w:top w:val="single" w:color="auto" w:sz="12" w:space="0"/>
              <w:left w:val="nil"/>
              <w:bottom w:val="nil"/>
              <w:right w:val="nil"/>
            </w:tcBorders>
            <w:shd w:val="clear" w:color="auto" w:fill="FFFFFF"/>
            <w:vAlign w:val="center"/>
          </w:tcPr>
          <w:p>
            <w:pPr>
              <w:rPr>
                <w:rFonts w:ascii="等线" w:hAnsi="等线" w:eastAsia="等线"/>
                <w:b/>
                <w:bCs/>
                <w:kern w:val="2"/>
                <w:sz w:val="21"/>
                <w:szCs w:val="21"/>
              </w:rPr>
            </w:pPr>
            <w:r>
              <w:rPr>
                <w:rFonts w:hint="eastAsia"/>
                <w:b/>
                <w:bCs/>
                <w:kern w:val="2"/>
                <w:sz w:val="21"/>
                <w:szCs w:val="21"/>
              </w:rPr>
              <w:t>子表1：剩余期限1</w:t>
            </w:r>
          </w:p>
        </w:tc>
      </w:tr>
      <w:tr>
        <w:tblPrEx>
          <w:shd w:val="clear" w:color="auto" w:fill="FFFFFF"/>
          <w:tblCellMar>
            <w:top w:w="0" w:type="dxa"/>
            <w:left w:w="108" w:type="dxa"/>
            <w:bottom w:w="0" w:type="dxa"/>
            <w:right w:w="108" w:type="dxa"/>
          </w:tblCellMar>
        </w:tblPrEx>
        <w:trPr>
          <w:trHeight w:val="284" w:hRule="atLeast"/>
          <w:jc w:val="center"/>
        </w:trPr>
        <w:tc>
          <w:tcPr>
            <w:tcW w:w="1557" w:type="dxa"/>
            <w:vMerge w:val="restart"/>
            <w:tcBorders>
              <w:top w:val="nil"/>
              <w:bottom w:val="nil"/>
            </w:tcBorders>
            <w:shd w:val="clear" w:color="auto" w:fill="FFFFFF"/>
            <w:vAlign w:val="center"/>
          </w:tcPr>
          <w:p>
            <w:pPr>
              <w:rPr>
                <w:rFonts w:ascii="等线" w:hAnsi="等线" w:eastAsia="等线"/>
                <w:b/>
                <w:bCs/>
                <w:kern w:val="2"/>
                <w:sz w:val="21"/>
                <w:szCs w:val="21"/>
              </w:rPr>
            </w:pPr>
            <w:r>
              <w:rPr>
                <w:rFonts w:hint="eastAsia"/>
                <w:b/>
                <w:bCs/>
                <w:kern w:val="2"/>
                <w:sz w:val="21"/>
                <w:szCs w:val="21"/>
              </w:rPr>
              <w:t>变量</w:t>
            </w:r>
          </w:p>
        </w:tc>
        <w:tc>
          <w:tcPr>
            <w:tcW w:w="2272" w:type="dxa"/>
            <w:gridSpan w:val="3"/>
            <w:tcBorders>
              <w:top w:val="nil"/>
              <w:bottom w:val="nil"/>
            </w:tcBorders>
            <w:shd w:val="clear" w:color="auto" w:fill="FFFFFF"/>
            <w:vAlign w:val="center"/>
          </w:tcPr>
          <w:p>
            <w:pPr>
              <w:jc w:val="center"/>
              <w:rPr>
                <w:rFonts w:ascii="等线" w:hAnsi="等线" w:eastAsia="等线"/>
                <w:kern w:val="2"/>
                <w:sz w:val="21"/>
                <w:szCs w:val="21"/>
              </w:rPr>
            </w:pPr>
            <w:r>
              <w:rPr>
                <w:rFonts w:hint="eastAsia"/>
                <w:kern w:val="2"/>
                <w:sz w:val="21"/>
                <w:szCs w:val="21"/>
              </w:rPr>
              <w:t>行权价格1</w:t>
            </w:r>
          </w:p>
        </w:tc>
        <w:tc>
          <w:tcPr>
            <w:tcW w:w="2242" w:type="dxa"/>
            <w:gridSpan w:val="4"/>
            <w:tcBorders>
              <w:top w:val="nil"/>
              <w:bottom w:val="nil"/>
            </w:tcBorders>
            <w:shd w:val="clear" w:color="auto" w:fill="FFFFFF"/>
            <w:vAlign w:val="center"/>
          </w:tcPr>
          <w:p>
            <w:pPr>
              <w:jc w:val="center"/>
              <w:rPr>
                <w:rFonts w:ascii="等线" w:hAnsi="等线" w:eastAsia="等线"/>
                <w:kern w:val="2"/>
                <w:sz w:val="21"/>
                <w:szCs w:val="21"/>
              </w:rPr>
            </w:pPr>
            <w:r>
              <w:rPr>
                <w:rFonts w:hint="eastAsia"/>
                <w:kern w:val="2"/>
                <w:sz w:val="21"/>
                <w:szCs w:val="21"/>
              </w:rPr>
              <w:t>行权价格2</w:t>
            </w:r>
          </w:p>
        </w:tc>
        <w:tc>
          <w:tcPr>
            <w:tcW w:w="2235" w:type="dxa"/>
            <w:gridSpan w:val="4"/>
            <w:tcBorders>
              <w:top w:val="nil"/>
              <w:bottom w:val="nil"/>
            </w:tcBorders>
            <w:shd w:val="clear" w:color="auto" w:fill="FFFFFF"/>
            <w:vAlign w:val="center"/>
          </w:tcPr>
          <w:p>
            <w:pPr>
              <w:jc w:val="center"/>
              <w:rPr>
                <w:rFonts w:ascii="等线" w:hAnsi="等线" w:eastAsia="等线"/>
                <w:kern w:val="2"/>
                <w:sz w:val="21"/>
                <w:szCs w:val="21"/>
              </w:rPr>
            </w:pPr>
            <w:r>
              <w:rPr>
                <w:rFonts w:hint="eastAsia"/>
                <w:kern w:val="2"/>
                <w:sz w:val="21"/>
                <w:szCs w:val="21"/>
              </w:rPr>
              <w:t>行权价格3</w:t>
            </w:r>
          </w:p>
        </w:tc>
      </w:tr>
      <w:tr>
        <w:tblPrEx>
          <w:shd w:val="clear" w:color="auto" w:fill="FFFFFF"/>
          <w:tblCellMar>
            <w:top w:w="0" w:type="dxa"/>
            <w:left w:w="108" w:type="dxa"/>
            <w:bottom w:w="0" w:type="dxa"/>
            <w:right w:w="108" w:type="dxa"/>
          </w:tblCellMar>
        </w:tblPrEx>
        <w:trPr>
          <w:trHeight w:val="284" w:hRule="atLeast"/>
          <w:jc w:val="center"/>
        </w:trPr>
        <w:tc>
          <w:tcPr>
            <w:tcW w:w="1557" w:type="dxa"/>
            <w:vMerge w:val="continue"/>
            <w:tcBorders>
              <w:top w:val="nil"/>
              <w:bottom w:val="single" w:color="auto" w:sz="4" w:space="0"/>
            </w:tcBorders>
            <w:shd w:val="clear" w:color="auto" w:fill="FFFFFF"/>
            <w:vAlign w:val="center"/>
          </w:tcPr>
          <w:p>
            <w:pPr>
              <w:rPr>
                <w:rFonts w:ascii="等线" w:hAnsi="等线" w:eastAsia="等线"/>
                <w:b/>
                <w:bCs/>
                <w:kern w:val="2"/>
                <w:sz w:val="21"/>
                <w:szCs w:val="21"/>
              </w:rPr>
            </w:pPr>
          </w:p>
        </w:tc>
        <w:tc>
          <w:tcPr>
            <w:tcW w:w="1116" w:type="dxa"/>
            <w:tcBorders>
              <w:top w:val="nil"/>
              <w:bottom w:val="single" w:color="auto" w:sz="4" w:space="0"/>
            </w:tcBorders>
            <w:shd w:val="clear" w:color="auto" w:fill="FFFFFF"/>
            <w:vAlign w:val="center"/>
          </w:tcPr>
          <w:p>
            <w:pPr>
              <w:jc w:val="center"/>
              <w:rPr>
                <w:rFonts w:ascii="等线" w:hAnsi="等线" w:eastAsia="等线"/>
                <w:b/>
                <w:bCs/>
                <w:kern w:val="2"/>
                <w:sz w:val="21"/>
                <w:szCs w:val="21"/>
              </w:rPr>
            </w:pPr>
            <w:r>
              <w:rPr>
                <w:rFonts w:hint="eastAsia"/>
                <w:kern w:val="2"/>
                <w:sz w:val="21"/>
                <w:szCs w:val="21"/>
              </w:rPr>
              <w:t>模型1</w:t>
            </w:r>
          </w:p>
        </w:tc>
        <w:tc>
          <w:tcPr>
            <w:tcW w:w="1156" w:type="dxa"/>
            <w:gridSpan w:val="2"/>
            <w:tcBorders>
              <w:top w:val="nil"/>
              <w:bottom w:val="single" w:color="auto" w:sz="4" w:space="0"/>
            </w:tcBorders>
            <w:shd w:val="clear" w:color="auto" w:fill="FFFFFF"/>
            <w:vAlign w:val="center"/>
          </w:tcPr>
          <w:p>
            <w:pPr>
              <w:jc w:val="center"/>
              <w:rPr>
                <w:rFonts w:ascii="等线" w:hAnsi="等线" w:eastAsia="等线"/>
                <w:kern w:val="2"/>
                <w:sz w:val="21"/>
                <w:szCs w:val="21"/>
              </w:rPr>
            </w:pPr>
            <w:r>
              <w:rPr>
                <w:rFonts w:hint="eastAsia"/>
                <w:kern w:val="2"/>
                <w:sz w:val="21"/>
                <w:szCs w:val="21"/>
              </w:rPr>
              <w:t>模型2</w:t>
            </w:r>
          </w:p>
        </w:tc>
        <w:tc>
          <w:tcPr>
            <w:tcW w:w="1126" w:type="dxa"/>
            <w:gridSpan w:val="2"/>
            <w:tcBorders>
              <w:top w:val="nil"/>
              <w:bottom w:val="single" w:color="auto" w:sz="4" w:space="0"/>
            </w:tcBorders>
            <w:shd w:val="clear" w:color="auto" w:fill="FFFFFF"/>
            <w:vAlign w:val="center"/>
          </w:tcPr>
          <w:p>
            <w:pPr>
              <w:jc w:val="center"/>
              <w:rPr>
                <w:rFonts w:ascii="等线" w:hAnsi="等线" w:eastAsia="等线"/>
                <w:b/>
                <w:bCs/>
                <w:kern w:val="2"/>
                <w:sz w:val="21"/>
                <w:szCs w:val="21"/>
              </w:rPr>
            </w:pPr>
            <w:r>
              <w:rPr>
                <w:rFonts w:hint="eastAsia"/>
                <w:kern w:val="2"/>
                <w:sz w:val="21"/>
                <w:szCs w:val="21"/>
              </w:rPr>
              <w:t>模型3</w:t>
            </w:r>
          </w:p>
        </w:tc>
        <w:tc>
          <w:tcPr>
            <w:tcW w:w="1116" w:type="dxa"/>
            <w:gridSpan w:val="2"/>
            <w:tcBorders>
              <w:top w:val="nil"/>
              <w:bottom w:val="single" w:color="auto" w:sz="4" w:space="0"/>
            </w:tcBorders>
            <w:shd w:val="clear" w:color="auto" w:fill="FFFFFF"/>
            <w:vAlign w:val="center"/>
          </w:tcPr>
          <w:p>
            <w:pPr>
              <w:jc w:val="center"/>
              <w:rPr>
                <w:rFonts w:ascii="等线" w:hAnsi="等线" w:eastAsia="等线"/>
                <w:kern w:val="2"/>
                <w:sz w:val="21"/>
                <w:szCs w:val="21"/>
              </w:rPr>
            </w:pPr>
            <w:r>
              <w:rPr>
                <w:rFonts w:hint="eastAsia"/>
                <w:kern w:val="2"/>
                <w:sz w:val="21"/>
                <w:szCs w:val="21"/>
              </w:rPr>
              <w:t>模型4</w:t>
            </w:r>
          </w:p>
        </w:tc>
        <w:tc>
          <w:tcPr>
            <w:tcW w:w="1116" w:type="dxa"/>
            <w:gridSpan w:val="2"/>
            <w:tcBorders>
              <w:top w:val="nil"/>
              <w:bottom w:val="single" w:color="auto" w:sz="4" w:space="0"/>
            </w:tcBorders>
            <w:shd w:val="clear" w:color="auto" w:fill="FFFFFF"/>
            <w:vAlign w:val="center"/>
          </w:tcPr>
          <w:p>
            <w:pPr>
              <w:jc w:val="center"/>
              <w:rPr>
                <w:rFonts w:ascii="等线" w:hAnsi="等线" w:eastAsia="等线"/>
                <w:b/>
                <w:bCs/>
                <w:kern w:val="2"/>
                <w:sz w:val="21"/>
                <w:szCs w:val="21"/>
              </w:rPr>
            </w:pPr>
            <w:r>
              <w:rPr>
                <w:rFonts w:hint="eastAsia"/>
                <w:kern w:val="2"/>
                <w:sz w:val="21"/>
                <w:szCs w:val="21"/>
              </w:rPr>
              <w:t>模型5</w:t>
            </w:r>
          </w:p>
        </w:tc>
        <w:tc>
          <w:tcPr>
            <w:tcW w:w="1119" w:type="dxa"/>
            <w:gridSpan w:val="2"/>
            <w:tcBorders>
              <w:top w:val="nil"/>
              <w:bottom w:val="single" w:color="auto" w:sz="4" w:space="0"/>
            </w:tcBorders>
            <w:shd w:val="clear" w:color="auto" w:fill="FFFFFF"/>
            <w:vAlign w:val="center"/>
          </w:tcPr>
          <w:p>
            <w:pPr>
              <w:jc w:val="center"/>
              <w:rPr>
                <w:rFonts w:ascii="等线" w:hAnsi="等线" w:eastAsia="等线"/>
                <w:kern w:val="2"/>
                <w:sz w:val="21"/>
                <w:szCs w:val="21"/>
              </w:rPr>
            </w:pPr>
            <w:r>
              <w:rPr>
                <w:rFonts w:hint="eastAsia"/>
                <w:kern w:val="2"/>
                <w:sz w:val="21"/>
                <w:szCs w:val="21"/>
              </w:rPr>
              <w:t>模型6</w:t>
            </w:r>
          </w:p>
        </w:tc>
      </w:tr>
      <w:tr>
        <w:tblPrEx>
          <w:shd w:val="clear" w:color="auto" w:fill="FFFFFF"/>
          <w:tblCellMar>
            <w:top w:w="0" w:type="dxa"/>
            <w:left w:w="108" w:type="dxa"/>
            <w:bottom w:w="0" w:type="dxa"/>
            <w:right w:w="108" w:type="dxa"/>
          </w:tblCellMar>
        </w:tblPrEx>
        <w:trPr>
          <w:trHeight w:val="284" w:hRule="atLeast"/>
          <w:jc w:val="center"/>
        </w:trPr>
        <w:tc>
          <w:tcPr>
            <w:tcW w:w="1557" w:type="dxa"/>
            <w:tcBorders>
              <w:top w:val="single" w:color="auto" w:sz="4" w:space="0"/>
            </w:tcBorders>
            <w:shd w:val="clear" w:color="auto" w:fill="FFFFFF"/>
            <w:vAlign w:val="center"/>
          </w:tcPr>
          <w:p>
            <w:pPr>
              <w:rPr>
                <w:rFonts w:ascii="等线" w:hAnsi="等线" w:eastAsia="等线"/>
                <w:b/>
                <w:bCs/>
                <w:kern w:val="2"/>
                <w:sz w:val="21"/>
                <w:szCs w:val="21"/>
              </w:rPr>
            </w:pPr>
            <w:r>
              <w:rPr>
                <w:kern w:val="2"/>
                <w:sz w:val="21"/>
                <w:szCs w:val="21"/>
              </w:rPr>
              <w:t>Const</w:t>
            </w:r>
          </w:p>
        </w:tc>
        <w:tc>
          <w:tcPr>
            <w:tcW w:w="1116" w:type="dxa"/>
            <w:tcBorders>
              <w:top w:val="single" w:color="auto" w:sz="4" w:space="0"/>
            </w:tcBorders>
            <w:shd w:val="clear" w:color="auto" w:fill="FFFFFF"/>
            <w:vAlign w:val="center"/>
          </w:tcPr>
          <w:p>
            <w:pPr>
              <w:jc w:val="center"/>
              <w:rPr>
                <w:kern w:val="2"/>
                <w:sz w:val="21"/>
                <w:szCs w:val="21"/>
              </w:rPr>
            </w:pPr>
            <w:r>
              <w:rPr>
                <w:kern w:val="2"/>
                <w:sz w:val="21"/>
                <w:szCs w:val="21"/>
              </w:rPr>
              <w:t>-0.0090</w:t>
            </w:r>
          </w:p>
          <w:p>
            <w:pPr>
              <w:jc w:val="center"/>
              <w:rPr>
                <w:rFonts w:ascii="等线" w:hAnsi="等线" w:eastAsia="等线"/>
                <w:b/>
                <w:bCs/>
                <w:kern w:val="2"/>
                <w:sz w:val="21"/>
                <w:szCs w:val="21"/>
              </w:rPr>
            </w:pPr>
            <w:r>
              <w:rPr>
                <w:kern w:val="2"/>
                <w:sz w:val="21"/>
                <w:szCs w:val="21"/>
              </w:rPr>
              <w:t>(0.1615)</w:t>
            </w:r>
          </w:p>
        </w:tc>
        <w:tc>
          <w:tcPr>
            <w:tcW w:w="1156" w:type="dxa"/>
            <w:gridSpan w:val="2"/>
            <w:tcBorders>
              <w:top w:val="single" w:color="auto" w:sz="4" w:space="0"/>
            </w:tcBorders>
            <w:shd w:val="clear" w:color="auto" w:fill="FFFFFF"/>
            <w:vAlign w:val="center"/>
          </w:tcPr>
          <w:p>
            <w:pPr>
              <w:jc w:val="center"/>
              <w:rPr>
                <w:kern w:val="2"/>
                <w:sz w:val="21"/>
                <w:szCs w:val="21"/>
              </w:rPr>
            </w:pPr>
            <w:r>
              <w:rPr>
                <w:kern w:val="2"/>
                <w:sz w:val="21"/>
                <w:szCs w:val="21"/>
              </w:rPr>
              <w:t>-0.1150</w:t>
            </w:r>
          </w:p>
          <w:p>
            <w:pPr>
              <w:jc w:val="center"/>
              <w:rPr>
                <w:rFonts w:ascii="等线" w:hAnsi="等线" w:eastAsia="等线"/>
                <w:kern w:val="2"/>
                <w:sz w:val="21"/>
                <w:szCs w:val="21"/>
              </w:rPr>
            </w:pPr>
            <w:r>
              <w:rPr>
                <w:kern w:val="2"/>
                <w:sz w:val="21"/>
                <w:szCs w:val="21"/>
              </w:rPr>
              <w:t>(0.2004)</w:t>
            </w:r>
          </w:p>
        </w:tc>
        <w:tc>
          <w:tcPr>
            <w:tcW w:w="112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0.1168</w:t>
            </w:r>
            <w:r>
              <w:rPr>
                <w:kern w:val="2"/>
                <w:sz w:val="21"/>
                <w:szCs w:val="21"/>
                <w:vertAlign w:val="superscript"/>
              </w:rPr>
              <w:t>***</w:t>
            </w:r>
          </w:p>
          <w:p>
            <w:pPr>
              <w:jc w:val="center"/>
              <w:rPr>
                <w:rFonts w:ascii="等线" w:hAnsi="等线" w:eastAsia="等线"/>
                <w:b/>
                <w:bCs/>
                <w:kern w:val="2"/>
                <w:sz w:val="21"/>
                <w:szCs w:val="21"/>
              </w:rPr>
            </w:pPr>
            <w:r>
              <w:rPr>
                <w:kern w:val="2"/>
                <w:sz w:val="21"/>
                <w:szCs w:val="21"/>
              </w:rPr>
              <w:t>(0.0441)</w:t>
            </w:r>
          </w:p>
        </w:tc>
        <w:tc>
          <w:tcPr>
            <w:tcW w:w="111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0.1007</w:t>
            </w:r>
            <w:r>
              <w:rPr>
                <w:kern w:val="2"/>
                <w:sz w:val="21"/>
                <w:szCs w:val="21"/>
                <w:vertAlign w:val="superscript"/>
              </w:rPr>
              <w:t>*</w:t>
            </w:r>
          </w:p>
          <w:p>
            <w:pPr>
              <w:jc w:val="center"/>
              <w:rPr>
                <w:rFonts w:ascii="等线" w:hAnsi="等线" w:eastAsia="等线"/>
                <w:kern w:val="2"/>
                <w:sz w:val="21"/>
                <w:szCs w:val="21"/>
              </w:rPr>
            </w:pPr>
            <w:r>
              <w:rPr>
                <w:kern w:val="2"/>
                <w:sz w:val="21"/>
                <w:szCs w:val="21"/>
              </w:rPr>
              <w:t>(0.0584)</w:t>
            </w:r>
          </w:p>
        </w:tc>
        <w:tc>
          <w:tcPr>
            <w:tcW w:w="111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0.1560</w:t>
            </w:r>
            <w:r>
              <w:rPr>
                <w:kern w:val="2"/>
                <w:sz w:val="21"/>
                <w:szCs w:val="21"/>
                <w:vertAlign w:val="superscript"/>
              </w:rPr>
              <w:t>**</w:t>
            </w:r>
          </w:p>
          <w:p>
            <w:pPr>
              <w:jc w:val="center"/>
              <w:rPr>
                <w:rFonts w:ascii="等线" w:hAnsi="等线" w:eastAsia="等线"/>
                <w:b/>
                <w:bCs/>
                <w:kern w:val="2"/>
                <w:sz w:val="21"/>
                <w:szCs w:val="21"/>
              </w:rPr>
            </w:pPr>
            <w:r>
              <w:rPr>
                <w:kern w:val="2"/>
                <w:sz w:val="21"/>
                <w:szCs w:val="21"/>
              </w:rPr>
              <w:t>(0.0783)</w:t>
            </w:r>
          </w:p>
        </w:tc>
        <w:tc>
          <w:tcPr>
            <w:tcW w:w="1119" w:type="dxa"/>
            <w:gridSpan w:val="2"/>
            <w:tcBorders>
              <w:top w:val="single" w:color="auto" w:sz="4" w:space="0"/>
            </w:tcBorders>
            <w:shd w:val="clear" w:color="auto" w:fill="FFFFFF"/>
            <w:vAlign w:val="center"/>
          </w:tcPr>
          <w:p>
            <w:pPr>
              <w:jc w:val="center"/>
              <w:rPr>
                <w:kern w:val="2"/>
                <w:sz w:val="21"/>
                <w:szCs w:val="21"/>
              </w:rPr>
            </w:pPr>
            <w:r>
              <w:rPr>
                <w:kern w:val="2"/>
                <w:sz w:val="21"/>
                <w:szCs w:val="21"/>
              </w:rPr>
              <w:t>0.1543</w:t>
            </w:r>
          </w:p>
          <w:p>
            <w:pPr>
              <w:jc w:val="center"/>
              <w:rPr>
                <w:rFonts w:ascii="等线" w:hAnsi="等线" w:eastAsia="等线"/>
                <w:kern w:val="2"/>
                <w:sz w:val="21"/>
                <w:szCs w:val="21"/>
              </w:rPr>
            </w:pPr>
            <w:r>
              <w:rPr>
                <w:kern w:val="2"/>
                <w:sz w:val="21"/>
                <w:szCs w:val="21"/>
              </w:rPr>
              <w:t>(0.1028)</w:t>
            </w:r>
          </w:p>
        </w:tc>
      </w:tr>
      <w:tr>
        <w:tblPrEx>
          <w:shd w:val="clear" w:color="auto" w:fill="FFFFFF"/>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rFonts w:ascii="等线" w:hAnsi="等线" w:eastAsia="等线"/>
                <w:b/>
                <w:bCs/>
                <w:kern w:val="2"/>
                <w:sz w:val="21"/>
                <w:szCs w:val="21"/>
              </w:rPr>
            </w:pPr>
            <w:r>
              <w:rPr>
                <w:rFonts w:hint="eastAsia"/>
                <w:kern w:val="2"/>
                <w:sz w:val="21"/>
                <w:szCs w:val="21"/>
              </w:rPr>
              <w:t>F</w:t>
            </w:r>
            <w:r>
              <w:rPr>
                <w:kern w:val="2"/>
                <w:sz w:val="21"/>
                <w:szCs w:val="21"/>
              </w:rPr>
              <w:t>B</w:t>
            </w:r>
          </w:p>
        </w:tc>
        <w:tc>
          <w:tcPr>
            <w:tcW w:w="1116" w:type="dxa"/>
            <w:shd w:val="clear" w:color="auto" w:fill="FFFFFF"/>
            <w:vAlign w:val="center"/>
          </w:tcPr>
          <w:p>
            <w:pPr>
              <w:jc w:val="center"/>
              <w:rPr>
                <w:kern w:val="2"/>
                <w:sz w:val="21"/>
                <w:szCs w:val="21"/>
                <w:vertAlign w:val="superscript"/>
              </w:rPr>
            </w:pPr>
            <w:r>
              <w:rPr>
                <w:kern w:val="2"/>
                <w:sz w:val="21"/>
                <w:szCs w:val="21"/>
              </w:rPr>
              <w:t>0.0038</w:t>
            </w:r>
            <w:r>
              <w:rPr>
                <w:kern w:val="2"/>
                <w:sz w:val="21"/>
                <w:szCs w:val="21"/>
                <w:vertAlign w:val="superscript"/>
              </w:rPr>
              <w:t>***</w:t>
            </w:r>
          </w:p>
          <w:p>
            <w:pPr>
              <w:jc w:val="center"/>
              <w:rPr>
                <w:rFonts w:ascii="等线" w:hAnsi="等线" w:eastAsia="等线"/>
                <w:b/>
                <w:bCs/>
                <w:kern w:val="2"/>
                <w:sz w:val="21"/>
                <w:szCs w:val="21"/>
              </w:rPr>
            </w:pPr>
            <w:r>
              <w:rPr>
                <w:kern w:val="2"/>
                <w:sz w:val="21"/>
                <w:szCs w:val="21"/>
              </w:rPr>
              <w:t>(0.0007)</w:t>
            </w:r>
          </w:p>
        </w:tc>
        <w:tc>
          <w:tcPr>
            <w:tcW w:w="1156" w:type="dxa"/>
            <w:gridSpan w:val="2"/>
            <w:shd w:val="clear" w:color="auto" w:fill="FFFFFF"/>
            <w:vAlign w:val="center"/>
          </w:tcPr>
          <w:p>
            <w:pPr>
              <w:jc w:val="center"/>
              <w:rPr>
                <w:rFonts w:ascii="等线" w:hAnsi="等线" w:eastAsia="等线"/>
                <w:kern w:val="2"/>
                <w:sz w:val="21"/>
                <w:szCs w:val="21"/>
              </w:rPr>
            </w:pPr>
          </w:p>
        </w:tc>
        <w:tc>
          <w:tcPr>
            <w:tcW w:w="1126" w:type="dxa"/>
            <w:gridSpan w:val="2"/>
            <w:shd w:val="clear" w:color="auto" w:fill="FFFFFF"/>
            <w:vAlign w:val="center"/>
          </w:tcPr>
          <w:p>
            <w:pPr>
              <w:jc w:val="center"/>
              <w:rPr>
                <w:kern w:val="2"/>
                <w:sz w:val="21"/>
                <w:szCs w:val="21"/>
                <w:vertAlign w:val="superscript"/>
              </w:rPr>
            </w:pPr>
            <w:r>
              <w:rPr>
                <w:kern w:val="2"/>
                <w:sz w:val="21"/>
                <w:szCs w:val="21"/>
              </w:rPr>
              <w:t>0.0017</w:t>
            </w:r>
            <w:r>
              <w:rPr>
                <w:kern w:val="2"/>
                <w:sz w:val="21"/>
                <w:szCs w:val="21"/>
                <w:vertAlign w:val="superscript"/>
              </w:rPr>
              <w:t>***</w:t>
            </w:r>
          </w:p>
          <w:p>
            <w:pPr>
              <w:jc w:val="center"/>
              <w:rPr>
                <w:rFonts w:ascii="等线" w:hAnsi="等线" w:eastAsia="等线"/>
                <w:b/>
                <w:bCs/>
                <w:kern w:val="2"/>
                <w:sz w:val="21"/>
                <w:szCs w:val="21"/>
              </w:rPr>
            </w:pPr>
            <w:r>
              <w:rPr>
                <w:kern w:val="2"/>
                <w:sz w:val="21"/>
                <w:szCs w:val="21"/>
              </w:rPr>
              <w:t>(0.0002)</w:t>
            </w:r>
          </w:p>
        </w:tc>
        <w:tc>
          <w:tcPr>
            <w:tcW w:w="1116" w:type="dxa"/>
            <w:gridSpan w:val="2"/>
            <w:shd w:val="clear" w:color="auto" w:fill="FFFFFF"/>
            <w:vAlign w:val="center"/>
          </w:tcPr>
          <w:p>
            <w:pPr>
              <w:jc w:val="center"/>
              <w:rPr>
                <w:rFonts w:ascii="等线" w:hAnsi="等线" w:eastAsia="等线"/>
                <w:kern w:val="2"/>
                <w:sz w:val="21"/>
                <w:szCs w:val="21"/>
              </w:rPr>
            </w:pPr>
          </w:p>
        </w:tc>
        <w:tc>
          <w:tcPr>
            <w:tcW w:w="1116" w:type="dxa"/>
            <w:gridSpan w:val="2"/>
            <w:shd w:val="clear" w:color="auto" w:fill="FFFFFF"/>
            <w:vAlign w:val="center"/>
          </w:tcPr>
          <w:p>
            <w:pPr>
              <w:jc w:val="center"/>
              <w:rPr>
                <w:kern w:val="2"/>
                <w:sz w:val="21"/>
                <w:szCs w:val="21"/>
                <w:vertAlign w:val="superscript"/>
              </w:rPr>
            </w:pPr>
            <w:r>
              <w:rPr>
                <w:kern w:val="2"/>
                <w:sz w:val="21"/>
                <w:szCs w:val="21"/>
              </w:rPr>
              <w:t>0.0023</w:t>
            </w:r>
            <w:r>
              <w:rPr>
                <w:kern w:val="2"/>
                <w:sz w:val="21"/>
                <w:szCs w:val="21"/>
                <w:vertAlign w:val="superscript"/>
              </w:rPr>
              <w:t>***</w:t>
            </w:r>
          </w:p>
          <w:p>
            <w:pPr>
              <w:jc w:val="center"/>
              <w:rPr>
                <w:rFonts w:ascii="等线" w:hAnsi="等线" w:eastAsia="等线"/>
                <w:b/>
                <w:bCs/>
                <w:kern w:val="2"/>
                <w:sz w:val="21"/>
                <w:szCs w:val="21"/>
              </w:rPr>
            </w:pPr>
            <w:r>
              <w:rPr>
                <w:kern w:val="2"/>
                <w:sz w:val="21"/>
                <w:szCs w:val="21"/>
              </w:rPr>
              <w:t>(0.0003)</w:t>
            </w:r>
          </w:p>
        </w:tc>
        <w:tc>
          <w:tcPr>
            <w:tcW w:w="1119" w:type="dxa"/>
            <w:gridSpan w:val="2"/>
            <w:shd w:val="clear" w:color="auto" w:fill="FFFFFF"/>
            <w:vAlign w:val="center"/>
          </w:tcPr>
          <w:p>
            <w:pPr>
              <w:jc w:val="center"/>
              <w:rPr>
                <w:rFonts w:ascii="等线" w:hAnsi="等线" w:eastAsia="等线"/>
                <w:kern w:val="2"/>
                <w:sz w:val="21"/>
                <w:szCs w:val="21"/>
              </w:rPr>
            </w:pPr>
          </w:p>
        </w:tc>
      </w:tr>
      <w:tr>
        <w:tblPrEx>
          <w:shd w:val="clear" w:color="auto" w:fill="FFFFFF"/>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kern w:val="2"/>
                <w:sz w:val="21"/>
                <w:szCs w:val="21"/>
              </w:rPr>
              <w:t>TO</w:t>
            </w:r>
          </w:p>
        </w:tc>
        <w:tc>
          <w:tcPr>
            <w:tcW w:w="1116" w:type="dxa"/>
            <w:shd w:val="clear" w:color="auto" w:fill="FFFFFF"/>
            <w:vAlign w:val="center"/>
          </w:tcPr>
          <w:p>
            <w:pPr>
              <w:jc w:val="center"/>
              <w:rPr>
                <w:b/>
                <w:bCs/>
                <w:kern w:val="2"/>
                <w:sz w:val="21"/>
                <w:szCs w:val="21"/>
              </w:rPr>
            </w:pPr>
          </w:p>
        </w:tc>
        <w:tc>
          <w:tcPr>
            <w:tcW w:w="1156" w:type="dxa"/>
            <w:gridSpan w:val="2"/>
            <w:shd w:val="clear" w:color="auto" w:fill="FFFFFF"/>
            <w:vAlign w:val="center"/>
          </w:tcPr>
          <w:p>
            <w:pPr>
              <w:jc w:val="center"/>
              <w:rPr>
                <w:b/>
                <w:bCs/>
                <w:kern w:val="2"/>
                <w:sz w:val="21"/>
                <w:szCs w:val="21"/>
                <w:vertAlign w:val="superscript"/>
              </w:rPr>
            </w:pPr>
            <w:r>
              <w:rPr>
                <w:kern w:val="2"/>
                <w:sz w:val="21"/>
                <w:szCs w:val="21"/>
              </w:rPr>
              <w:t>-0.0110</w:t>
            </w:r>
            <w:r>
              <w:rPr>
                <w:kern w:val="2"/>
                <w:sz w:val="21"/>
                <w:szCs w:val="21"/>
                <w:vertAlign w:val="superscript"/>
              </w:rPr>
              <w:t>***</w:t>
            </w:r>
          </w:p>
          <w:p>
            <w:pPr>
              <w:jc w:val="center"/>
              <w:rPr>
                <w:b/>
                <w:bCs/>
                <w:kern w:val="2"/>
                <w:sz w:val="21"/>
                <w:szCs w:val="21"/>
              </w:rPr>
            </w:pPr>
            <w:r>
              <w:rPr>
                <w:kern w:val="2"/>
                <w:sz w:val="21"/>
                <w:szCs w:val="21"/>
              </w:rPr>
              <w:t>(0.0041)</w:t>
            </w:r>
          </w:p>
        </w:tc>
        <w:tc>
          <w:tcPr>
            <w:tcW w:w="1126" w:type="dxa"/>
            <w:gridSpan w:val="2"/>
            <w:shd w:val="clear" w:color="auto" w:fill="FFFFFF"/>
            <w:vAlign w:val="center"/>
          </w:tcPr>
          <w:p>
            <w:pPr>
              <w:jc w:val="center"/>
              <w:rPr>
                <w:b/>
                <w:bCs/>
                <w:kern w:val="2"/>
                <w:sz w:val="21"/>
                <w:szCs w:val="21"/>
              </w:rPr>
            </w:pPr>
          </w:p>
        </w:tc>
        <w:tc>
          <w:tcPr>
            <w:tcW w:w="1116" w:type="dxa"/>
            <w:gridSpan w:val="2"/>
            <w:shd w:val="clear" w:color="auto" w:fill="FFFFFF"/>
            <w:vAlign w:val="center"/>
          </w:tcPr>
          <w:p>
            <w:pPr>
              <w:jc w:val="center"/>
              <w:rPr>
                <w:b/>
                <w:bCs/>
                <w:kern w:val="2"/>
                <w:sz w:val="21"/>
                <w:szCs w:val="21"/>
                <w:vertAlign w:val="superscript"/>
              </w:rPr>
            </w:pPr>
            <w:r>
              <w:rPr>
                <w:kern w:val="2"/>
                <w:sz w:val="21"/>
                <w:szCs w:val="21"/>
              </w:rPr>
              <w:t>-0.0036</w:t>
            </w:r>
            <w:r>
              <w:rPr>
                <w:kern w:val="2"/>
                <w:sz w:val="21"/>
                <w:szCs w:val="21"/>
                <w:vertAlign w:val="superscript"/>
              </w:rPr>
              <w:t>***</w:t>
            </w:r>
          </w:p>
          <w:p>
            <w:pPr>
              <w:jc w:val="center"/>
              <w:rPr>
                <w:b/>
                <w:bCs/>
                <w:kern w:val="2"/>
                <w:sz w:val="21"/>
                <w:szCs w:val="21"/>
              </w:rPr>
            </w:pPr>
            <w:r>
              <w:rPr>
                <w:kern w:val="2"/>
                <w:sz w:val="21"/>
                <w:szCs w:val="21"/>
              </w:rPr>
              <w:t>(0.0012)</w:t>
            </w:r>
          </w:p>
        </w:tc>
        <w:tc>
          <w:tcPr>
            <w:tcW w:w="1116" w:type="dxa"/>
            <w:gridSpan w:val="2"/>
            <w:shd w:val="clear" w:color="auto" w:fill="FFFFFF"/>
            <w:vAlign w:val="center"/>
          </w:tcPr>
          <w:p>
            <w:pPr>
              <w:jc w:val="center"/>
              <w:rPr>
                <w:b/>
                <w:bCs/>
                <w:kern w:val="2"/>
                <w:sz w:val="21"/>
                <w:szCs w:val="21"/>
              </w:rPr>
            </w:pPr>
          </w:p>
        </w:tc>
        <w:tc>
          <w:tcPr>
            <w:tcW w:w="1119" w:type="dxa"/>
            <w:gridSpan w:val="2"/>
            <w:shd w:val="clear" w:color="auto" w:fill="FFFFFF"/>
            <w:vAlign w:val="center"/>
          </w:tcPr>
          <w:p>
            <w:pPr>
              <w:jc w:val="center"/>
              <w:rPr>
                <w:b/>
                <w:bCs/>
                <w:kern w:val="2"/>
                <w:sz w:val="21"/>
                <w:szCs w:val="21"/>
                <w:vertAlign w:val="superscript"/>
              </w:rPr>
            </w:pPr>
            <w:r>
              <w:rPr>
                <w:kern w:val="2"/>
                <w:sz w:val="21"/>
                <w:szCs w:val="21"/>
              </w:rPr>
              <w:t>-0.0030</w:t>
            </w:r>
            <w:r>
              <w:rPr>
                <w:kern w:val="2"/>
                <w:sz w:val="21"/>
                <w:szCs w:val="21"/>
                <w:vertAlign w:val="superscript"/>
              </w:rPr>
              <w:t>*</w:t>
            </w:r>
          </w:p>
          <w:p>
            <w:pPr>
              <w:jc w:val="center"/>
              <w:rPr>
                <w:b/>
                <w:bCs/>
                <w:kern w:val="2"/>
                <w:sz w:val="21"/>
                <w:szCs w:val="21"/>
              </w:rPr>
            </w:pPr>
            <w:r>
              <w:rPr>
                <w:kern w:val="2"/>
                <w:sz w:val="21"/>
                <w:szCs w:val="21"/>
              </w:rPr>
              <w:t>(0.0017)</w:t>
            </w:r>
          </w:p>
        </w:tc>
      </w:tr>
      <w:tr>
        <w:tblPrEx>
          <w:shd w:val="clear" w:color="auto" w:fill="FFFFFF"/>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kern w:val="2"/>
                <w:sz w:val="21"/>
                <w:szCs w:val="21"/>
              </w:rPr>
              <w:t>Adj R-squared</w:t>
            </w:r>
          </w:p>
        </w:tc>
        <w:tc>
          <w:tcPr>
            <w:tcW w:w="1116" w:type="dxa"/>
            <w:shd w:val="clear" w:color="auto" w:fill="FFFFFF"/>
            <w:vAlign w:val="center"/>
          </w:tcPr>
          <w:p>
            <w:pPr>
              <w:jc w:val="center"/>
              <w:rPr>
                <w:kern w:val="2"/>
                <w:sz w:val="21"/>
                <w:szCs w:val="21"/>
              </w:rPr>
            </w:pPr>
            <w:r>
              <w:rPr>
                <w:kern w:val="2"/>
                <w:sz w:val="21"/>
                <w:szCs w:val="21"/>
              </w:rPr>
              <w:t>0.1657</w:t>
            </w:r>
          </w:p>
        </w:tc>
        <w:tc>
          <w:tcPr>
            <w:tcW w:w="1156" w:type="dxa"/>
            <w:gridSpan w:val="2"/>
            <w:shd w:val="clear" w:color="auto" w:fill="FFFFFF"/>
            <w:vAlign w:val="center"/>
          </w:tcPr>
          <w:p>
            <w:pPr>
              <w:jc w:val="center"/>
              <w:rPr>
                <w:kern w:val="2"/>
                <w:sz w:val="21"/>
                <w:szCs w:val="21"/>
              </w:rPr>
            </w:pPr>
            <w:r>
              <w:rPr>
                <w:kern w:val="2"/>
                <w:sz w:val="21"/>
                <w:szCs w:val="21"/>
              </w:rPr>
              <w:t>0.0623</w:t>
            </w:r>
          </w:p>
        </w:tc>
        <w:tc>
          <w:tcPr>
            <w:tcW w:w="1126" w:type="dxa"/>
            <w:gridSpan w:val="2"/>
            <w:shd w:val="clear" w:color="auto" w:fill="FFFFFF"/>
            <w:vAlign w:val="center"/>
          </w:tcPr>
          <w:p>
            <w:pPr>
              <w:jc w:val="center"/>
              <w:rPr>
                <w:kern w:val="2"/>
                <w:sz w:val="21"/>
                <w:szCs w:val="21"/>
              </w:rPr>
            </w:pPr>
            <w:r>
              <w:rPr>
                <w:kern w:val="2"/>
                <w:sz w:val="21"/>
                <w:szCs w:val="21"/>
              </w:rPr>
              <w:t>0.2630</w:t>
            </w:r>
          </w:p>
        </w:tc>
        <w:tc>
          <w:tcPr>
            <w:tcW w:w="1116" w:type="dxa"/>
            <w:gridSpan w:val="2"/>
            <w:shd w:val="clear" w:color="auto" w:fill="FFFFFF"/>
            <w:vAlign w:val="center"/>
          </w:tcPr>
          <w:p>
            <w:pPr>
              <w:jc w:val="center"/>
              <w:rPr>
                <w:kern w:val="2"/>
                <w:sz w:val="21"/>
                <w:szCs w:val="21"/>
              </w:rPr>
            </w:pPr>
            <w:r>
              <w:rPr>
                <w:kern w:val="2"/>
                <w:sz w:val="21"/>
                <w:szCs w:val="21"/>
              </w:rPr>
              <w:t>0.0613</w:t>
            </w:r>
          </w:p>
        </w:tc>
        <w:tc>
          <w:tcPr>
            <w:tcW w:w="1116" w:type="dxa"/>
            <w:gridSpan w:val="2"/>
            <w:shd w:val="clear" w:color="auto" w:fill="FFFFFF"/>
            <w:vAlign w:val="center"/>
          </w:tcPr>
          <w:p>
            <w:pPr>
              <w:jc w:val="center"/>
              <w:rPr>
                <w:kern w:val="2"/>
                <w:sz w:val="21"/>
                <w:szCs w:val="21"/>
              </w:rPr>
            </w:pPr>
            <w:r>
              <w:rPr>
                <w:kern w:val="2"/>
                <w:sz w:val="21"/>
                <w:szCs w:val="21"/>
              </w:rPr>
              <w:t>0.2253</w:t>
            </w:r>
          </w:p>
        </w:tc>
        <w:tc>
          <w:tcPr>
            <w:tcW w:w="1119" w:type="dxa"/>
            <w:gridSpan w:val="2"/>
            <w:shd w:val="clear" w:color="auto" w:fill="FFFFFF"/>
            <w:vAlign w:val="center"/>
          </w:tcPr>
          <w:p>
            <w:pPr>
              <w:jc w:val="center"/>
              <w:rPr>
                <w:kern w:val="2"/>
                <w:sz w:val="21"/>
                <w:szCs w:val="21"/>
              </w:rPr>
            </w:pPr>
            <w:r>
              <w:rPr>
                <w:kern w:val="2"/>
                <w:sz w:val="21"/>
                <w:szCs w:val="21"/>
              </w:rPr>
              <w:t>0.0294</w:t>
            </w:r>
          </w:p>
        </w:tc>
      </w:tr>
      <w:tr>
        <w:tblPrEx>
          <w:shd w:val="clear" w:color="auto" w:fill="FFFFFF"/>
          <w:tblCellMar>
            <w:top w:w="0" w:type="dxa"/>
            <w:left w:w="108" w:type="dxa"/>
            <w:bottom w:w="0" w:type="dxa"/>
            <w:right w:w="108" w:type="dxa"/>
          </w:tblCellMar>
        </w:tblPrEx>
        <w:trPr>
          <w:trHeight w:val="355" w:hRule="atLeast"/>
          <w:jc w:val="center"/>
        </w:trPr>
        <w:tc>
          <w:tcPr>
            <w:tcW w:w="8306" w:type="dxa"/>
            <w:gridSpan w:val="12"/>
            <w:tcBorders>
              <w:top w:val="single" w:color="auto" w:sz="4" w:space="0"/>
              <w:bottom w:val="single" w:color="auto" w:sz="4" w:space="0"/>
            </w:tcBorders>
            <w:shd w:val="clear" w:color="auto" w:fill="FFFFFF"/>
            <w:vAlign w:val="center"/>
          </w:tcPr>
          <w:p>
            <w:pPr>
              <w:rPr>
                <w:b/>
                <w:bCs/>
                <w:kern w:val="2"/>
                <w:sz w:val="21"/>
                <w:szCs w:val="21"/>
              </w:rPr>
            </w:pPr>
            <w:r>
              <w:rPr>
                <w:rFonts w:hint="eastAsia"/>
                <w:b/>
                <w:bCs/>
                <w:kern w:val="2"/>
                <w:sz w:val="21"/>
                <w:szCs w:val="21"/>
              </w:rPr>
              <w:t>子表2：剩余期限2</w:t>
            </w:r>
          </w:p>
        </w:tc>
      </w:tr>
      <w:tr>
        <w:tblPrEx>
          <w:shd w:val="clear" w:color="auto" w:fill="FFFFFF"/>
          <w:tblCellMar>
            <w:top w:w="0" w:type="dxa"/>
            <w:left w:w="108" w:type="dxa"/>
            <w:bottom w:w="0" w:type="dxa"/>
            <w:right w:w="108" w:type="dxa"/>
          </w:tblCellMar>
        </w:tblPrEx>
        <w:trPr>
          <w:jc w:val="center"/>
        </w:trPr>
        <w:tc>
          <w:tcPr>
            <w:tcW w:w="1557" w:type="dxa"/>
            <w:vMerge w:val="restart"/>
            <w:tcBorders>
              <w:top w:val="single" w:color="auto" w:sz="4" w:space="0"/>
            </w:tcBorders>
            <w:shd w:val="clear" w:color="auto" w:fill="FFFFFF"/>
            <w:vAlign w:val="center"/>
          </w:tcPr>
          <w:p>
            <w:pPr>
              <w:rPr>
                <w:b/>
                <w:bCs/>
                <w:kern w:val="2"/>
                <w:sz w:val="21"/>
                <w:szCs w:val="21"/>
              </w:rPr>
            </w:pPr>
            <w:r>
              <w:rPr>
                <w:kern w:val="2"/>
                <w:sz w:val="21"/>
                <w:szCs w:val="21"/>
              </w:rPr>
              <w:t>Variables</w:t>
            </w:r>
          </w:p>
        </w:tc>
        <w:tc>
          <w:tcPr>
            <w:tcW w:w="2410" w:type="dxa"/>
            <w:gridSpan w:val="4"/>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行权价格1</w:t>
            </w:r>
          </w:p>
        </w:tc>
        <w:tc>
          <w:tcPr>
            <w:tcW w:w="2184" w:type="dxa"/>
            <w:gridSpan w:val="4"/>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行权价格2</w:t>
            </w:r>
          </w:p>
        </w:tc>
        <w:tc>
          <w:tcPr>
            <w:tcW w:w="2155" w:type="dxa"/>
            <w:gridSpan w:val="3"/>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行权价格3</w:t>
            </w:r>
          </w:p>
        </w:tc>
      </w:tr>
      <w:tr>
        <w:tblPrEx>
          <w:shd w:val="clear" w:color="auto" w:fill="FFFFFF"/>
          <w:tblCellMar>
            <w:top w:w="0" w:type="dxa"/>
            <w:left w:w="108" w:type="dxa"/>
            <w:bottom w:w="0" w:type="dxa"/>
            <w:right w:w="108" w:type="dxa"/>
          </w:tblCellMar>
        </w:tblPrEx>
        <w:trPr>
          <w:jc w:val="center"/>
        </w:trPr>
        <w:tc>
          <w:tcPr>
            <w:tcW w:w="1557" w:type="dxa"/>
            <w:vMerge w:val="continue"/>
            <w:shd w:val="clear" w:color="auto" w:fill="FFFFFF"/>
            <w:vAlign w:val="center"/>
          </w:tcPr>
          <w:p>
            <w:pPr>
              <w:rPr>
                <w:b/>
                <w:bCs/>
                <w:kern w:val="2"/>
                <w:sz w:val="21"/>
                <w:szCs w:val="21"/>
              </w:rPr>
            </w:pPr>
          </w:p>
        </w:tc>
        <w:tc>
          <w:tcPr>
            <w:tcW w:w="1254"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模型1</w:t>
            </w:r>
          </w:p>
        </w:tc>
        <w:tc>
          <w:tcPr>
            <w:tcW w:w="1156"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模型2</w:t>
            </w:r>
          </w:p>
        </w:tc>
        <w:tc>
          <w:tcPr>
            <w:tcW w:w="1103"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模型3</w:t>
            </w:r>
          </w:p>
        </w:tc>
        <w:tc>
          <w:tcPr>
            <w:tcW w:w="1081"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模型4</w:t>
            </w:r>
          </w:p>
        </w:tc>
        <w:tc>
          <w:tcPr>
            <w:tcW w:w="1072"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模型5</w:t>
            </w:r>
          </w:p>
        </w:tc>
        <w:tc>
          <w:tcPr>
            <w:tcW w:w="1083" w:type="dxa"/>
            <w:tcBorders>
              <w:top w:val="single" w:color="auto" w:sz="4" w:space="0"/>
            </w:tcBorders>
            <w:shd w:val="clear" w:color="auto" w:fill="FFFFFF"/>
            <w:vAlign w:val="center"/>
          </w:tcPr>
          <w:p>
            <w:pPr>
              <w:jc w:val="center"/>
              <w:rPr>
                <w:kern w:val="2"/>
                <w:sz w:val="21"/>
                <w:szCs w:val="21"/>
              </w:rPr>
            </w:pPr>
            <w:r>
              <w:rPr>
                <w:rFonts w:hint="eastAsia"/>
                <w:kern w:val="2"/>
                <w:sz w:val="21"/>
                <w:szCs w:val="21"/>
              </w:rPr>
              <w:t>模型6</w:t>
            </w:r>
          </w:p>
        </w:tc>
      </w:tr>
      <w:tr>
        <w:tblPrEx>
          <w:shd w:val="clear" w:color="auto" w:fill="FFFFFF"/>
          <w:tblCellMar>
            <w:top w:w="0" w:type="dxa"/>
            <w:left w:w="108" w:type="dxa"/>
            <w:bottom w:w="0" w:type="dxa"/>
            <w:right w:w="108" w:type="dxa"/>
          </w:tblCellMar>
        </w:tblPrEx>
        <w:trPr>
          <w:trHeight w:val="155" w:hRule="atLeast"/>
          <w:jc w:val="center"/>
        </w:trPr>
        <w:tc>
          <w:tcPr>
            <w:tcW w:w="1557" w:type="dxa"/>
            <w:tcBorders>
              <w:top w:val="single" w:color="auto" w:sz="4" w:space="0"/>
            </w:tcBorders>
            <w:shd w:val="clear" w:color="auto" w:fill="FFFFFF"/>
            <w:vAlign w:val="center"/>
          </w:tcPr>
          <w:p>
            <w:pPr>
              <w:rPr>
                <w:b/>
                <w:bCs/>
                <w:kern w:val="2"/>
                <w:sz w:val="21"/>
                <w:szCs w:val="21"/>
              </w:rPr>
            </w:pPr>
            <w:r>
              <w:rPr>
                <w:kern w:val="2"/>
                <w:sz w:val="21"/>
                <w:szCs w:val="21"/>
              </w:rPr>
              <w:t>Const</w:t>
            </w:r>
          </w:p>
        </w:tc>
        <w:tc>
          <w:tcPr>
            <w:tcW w:w="1116" w:type="dxa"/>
            <w:tcBorders>
              <w:top w:val="single" w:color="auto" w:sz="4" w:space="0"/>
            </w:tcBorders>
            <w:shd w:val="clear" w:color="auto" w:fill="FFFFFF"/>
            <w:vAlign w:val="center"/>
          </w:tcPr>
          <w:p>
            <w:pPr>
              <w:jc w:val="center"/>
              <w:rPr>
                <w:kern w:val="2"/>
                <w:sz w:val="21"/>
                <w:szCs w:val="21"/>
                <w:vertAlign w:val="superscript"/>
              </w:rPr>
            </w:pPr>
            <w:r>
              <w:rPr>
                <w:kern w:val="2"/>
                <w:sz w:val="21"/>
                <w:szCs w:val="21"/>
              </w:rPr>
              <w:t>-0.0095</w:t>
            </w:r>
          </w:p>
          <w:p>
            <w:pPr>
              <w:jc w:val="center"/>
              <w:rPr>
                <w:kern w:val="2"/>
                <w:sz w:val="21"/>
                <w:szCs w:val="21"/>
              </w:rPr>
            </w:pPr>
            <w:r>
              <w:rPr>
                <w:kern w:val="2"/>
                <w:sz w:val="21"/>
                <w:szCs w:val="21"/>
              </w:rPr>
              <w:t>(0.1215)</w:t>
            </w:r>
          </w:p>
        </w:tc>
        <w:tc>
          <w:tcPr>
            <w:tcW w:w="1156" w:type="dxa"/>
            <w:gridSpan w:val="2"/>
            <w:tcBorders>
              <w:top w:val="single" w:color="auto" w:sz="4" w:space="0"/>
            </w:tcBorders>
            <w:shd w:val="clear" w:color="auto" w:fill="FFFFFF"/>
            <w:vAlign w:val="center"/>
          </w:tcPr>
          <w:p>
            <w:pPr>
              <w:jc w:val="center"/>
              <w:rPr>
                <w:kern w:val="2"/>
                <w:sz w:val="21"/>
                <w:szCs w:val="21"/>
              </w:rPr>
            </w:pPr>
            <w:r>
              <w:rPr>
                <w:kern w:val="2"/>
                <w:sz w:val="21"/>
                <w:szCs w:val="21"/>
              </w:rPr>
              <w:t>-0.1505</w:t>
            </w:r>
          </w:p>
          <w:p>
            <w:pPr>
              <w:jc w:val="center"/>
              <w:rPr>
                <w:kern w:val="2"/>
                <w:sz w:val="21"/>
                <w:szCs w:val="21"/>
                <w:vertAlign w:val="superscript"/>
              </w:rPr>
            </w:pPr>
            <w:r>
              <w:rPr>
                <w:kern w:val="2"/>
                <w:sz w:val="21"/>
                <w:szCs w:val="21"/>
              </w:rPr>
              <w:t>(0.1463)</w:t>
            </w:r>
          </w:p>
        </w:tc>
        <w:tc>
          <w:tcPr>
            <w:tcW w:w="112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0.0975</w:t>
            </w:r>
            <w:r>
              <w:rPr>
                <w:kern w:val="2"/>
                <w:sz w:val="21"/>
                <w:szCs w:val="21"/>
                <w:vertAlign w:val="superscript"/>
              </w:rPr>
              <w:t>**</w:t>
            </w:r>
          </w:p>
          <w:p>
            <w:pPr>
              <w:jc w:val="center"/>
              <w:rPr>
                <w:kern w:val="2"/>
                <w:sz w:val="21"/>
                <w:szCs w:val="21"/>
              </w:rPr>
            </w:pPr>
            <w:r>
              <w:rPr>
                <w:kern w:val="2"/>
                <w:sz w:val="21"/>
                <w:szCs w:val="21"/>
              </w:rPr>
              <w:t>(0.0399)</w:t>
            </w:r>
          </w:p>
        </w:tc>
        <w:tc>
          <w:tcPr>
            <w:tcW w:w="111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0.0721</w:t>
            </w:r>
            <w:r>
              <w:rPr>
                <w:kern w:val="2"/>
                <w:sz w:val="21"/>
                <w:szCs w:val="21"/>
                <w:vertAlign w:val="superscript"/>
              </w:rPr>
              <w:t>***</w:t>
            </w:r>
          </w:p>
          <w:p>
            <w:pPr>
              <w:jc w:val="center"/>
              <w:rPr>
                <w:kern w:val="2"/>
                <w:sz w:val="21"/>
                <w:szCs w:val="21"/>
              </w:rPr>
            </w:pPr>
            <w:r>
              <w:rPr>
                <w:kern w:val="2"/>
                <w:sz w:val="21"/>
                <w:szCs w:val="21"/>
              </w:rPr>
              <w:t>(0.0548)</w:t>
            </w:r>
          </w:p>
        </w:tc>
        <w:tc>
          <w:tcPr>
            <w:tcW w:w="1116" w:type="dxa"/>
            <w:gridSpan w:val="2"/>
            <w:tcBorders>
              <w:top w:val="single" w:color="auto" w:sz="4" w:space="0"/>
            </w:tcBorders>
            <w:shd w:val="clear" w:color="auto" w:fill="FFFFFF"/>
            <w:vAlign w:val="center"/>
          </w:tcPr>
          <w:p>
            <w:pPr>
              <w:jc w:val="center"/>
              <w:rPr>
                <w:kern w:val="2"/>
                <w:sz w:val="21"/>
                <w:szCs w:val="21"/>
                <w:vertAlign w:val="superscript"/>
              </w:rPr>
            </w:pPr>
            <w:r>
              <w:rPr>
                <w:kern w:val="2"/>
                <w:sz w:val="21"/>
                <w:szCs w:val="21"/>
              </w:rPr>
              <w:t>0.0934</w:t>
            </w:r>
            <w:r>
              <w:rPr>
                <w:kern w:val="2"/>
                <w:sz w:val="21"/>
                <w:szCs w:val="21"/>
                <w:vertAlign w:val="superscript"/>
              </w:rPr>
              <w:t>**</w:t>
            </w:r>
          </w:p>
          <w:p>
            <w:pPr>
              <w:jc w:val="center"/>
              <w:rPr>
                <w:kern w:val="2"/>
                <w:sz w:val="21"/>
                <w:szCs w:val="21"/>
              </w:rPr>
            </w:pPr>
            <w:r>
              <w:rPr>
                <w:kern w:val="2"/>
                <w:sz w:val="21"/>
                <w:szCs w:val="21"/>
              </w:rPr>
              <w:t>(0.0451)</w:t>
            </w:r>
          </w:p>
        </w:tc>
        <w:tc>
          <w:tcPr>
            <w:tcW w:w="1119" w:type="dxa"/>
            <w:gridSpan w:val="2"/>
            <w:tcBorders>
              <w:top w:val="single" w:color="auto" w:sz="4" w:space="0"/>
            </w:tcBorders>
            <w:shd w:val="clear" w:color="auto" w:fill="FFFFFF"/>
            <w:vAlign w:val="center"/>
          </w:tcPr>
          <w:p>
            <w:pPr>
              <w:jc w:val="center"/>
              <w:rPr>
                <w:kern w:val="2"/>
                <w:sz w:val="21"/>
                <w:szCs w:val="21"/>
              </w:rPr>
            </w:pPr>
            <w:r>
              <w:rPr>
                <w:kern w:val="2"/>
                <w:sz w:val="21"/>
                <w:szCs w:val="21"/>
              </w:rPr>
              <w:t>0.0737</w:t>
            </w:r>
          </w:p>
          <w:p>
            <w:pPr>
              <w:jc w:val="center"/>
              <w:rPr>
                <w:kern w:val="2"/>
                <w:sz w:val="21"/>
                <w:szCs w:val="21"/>
              </w:rPr>
            </w:pPr>
            <w:r>
              <w:rPr>
                <w:kern w:val="2"/>
                <w:sz w:val="21"/>
                <w:szCs w:val="21"/>
              </w:rPr>
              <w:t>(0.0629)</w:t>
            </w:r>
          </w:p>
        </w:tc>
      </w:tr>
      <w:tr>
        <w:tblPrEx>
          <w:shd w:val="clear" w:color="auto" w:fill="FFFFFF"/>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rFonts w:hint="eastAsia"/>
                <w:kern w:val="2"/>
                <w:sz w:val="21"/>
                <w:szCs w:val="21"/>
              </w:rPr>
              <w:t>F</w:t>
            </w:r>
            <w:r>
              <w:rPr>
                <w:kern w:val="2"/>
                <w:sz w:val="21"/>
                <w:szCs w:val="21"/>
              </w:rPr>
              <w:t>B</w:t>
            </w:r>
          </w:p>
        </w:tc>
        <w:tc>
          <w:tcPr>
            <w:tcW w:w="1116" w:type="dxa"/>
            <w:shd w:val="clear" w:color="auto" w:fill="FFFFFF"/>
            <w:vAlign w:val="center"/>
          </w:tcPr>
          <w:p>
            <w:pPr>
              <w:jc w:val="center"/>
              <w:rPr>
                <w:kern w:val="2"/>
                <w:sz w:val="21"/>
                <w:szCs w:val="21"/>
                <w:vertAlign w:val="superscript"/>
              </w:rPr>
            </w:pPr>
            <w:r>
              <w:rPr>
                <w:kern w:val="2"/>
                <w:sz w:val="21"/>
                <w:szCs w:val="21"/>
              </w:rPr>
              <w:t>0.0026</w:t>
            </w:r>
            <w:r>
              <w:rPr>
                <w:kern w:val="2"/>
                <w:sz w:val="21"/>
                <w:szCs w:val="21"/>
                <w:vertAlign w:val="superscript"/>
              </w:rPr>
              <w:t>***</w:t>
            </w:r>
          </w:p>
          <w:p>
            <w:pPr>
              <w:jc w:val="center"/>
              <w:rPr>
                <w:kern w:val="2"/>
                <w:sz w:val="21"/>
                <w:szCs w:val="21"/>
              </w:rPr>
            </w:pPr>
            <w:r>
              <w:rPr>
                <w:kern w:val="2"/>
                <w:sz w:val="21"/>
                <w:szCs w:val="21"/>
              </w:rPr>
              <w:t>(0.0005)</w:t>
            </w:r>
          </w:p>
        </w:tc>
        <w:tc>
          <w:tcPr>
            <w:tcW w:w="1156" w:type="dxa"/>
            <w:gridSpan w:val="2"/>
            <w:shd w:val="clear" w:color="auto" w:fill="FFFFFF"/>
            <w:vAlign w:val="center"/>
          </w:tcPr>
          <w:p>
            <w:pPr>
              <w:jc w:val="center"/>
              <w:rPr>
                <w:kern w:val="2"/>
                <w:sz w:val="21"/>
                <w:szCs w:val="21"/>
              </w:rPr>
            </w:pPr>
          </w:p>
        </w:tc>
        <w:tc>
          <w:tcPr>
            <w:tcW w:w="1126" w:type="dxa"/>
            <w:gridSpan w:val="2"/>
            <w:shd w:val="clear" w:color="auto" w:fill="FFFFFF"/>
            <w:vAlign w:val="center"/>
          </w:tcPr>
          <w:p>
            <w:pPr>
              <w:jc w:val="center"/>
              <w:rPr>
                <w:kern w:val="2"/>
                <w:sz w:val="21"/>
                <w:szCs w:val="21"/>
                <w:vertAlign w:val="superscript"/>
              </w:rPr>
            </w:pPr>
            <w:r>
              <w:rPr>
                <w:kern w:val="2"/>
                <w:sz w:val="21"/>
                <w:szCs w:val="21"/>
              </w:rPr>
              <w:t>0.0017</w:t>
            </w:r>
            <w:r>
              <w:rPr>
                <w:kern w:val="2"/>
                <w:sz w:val="21"/>
                <w:szCs w:val="21"/>
                <w:vertAlign w:val="superscript"/>
              </w:rPr>
              <w:t>***</w:t>
            </w:r>
          </w:p>
          <w:p>
            <w:pPr>
              <w:jc w:val="center"/>
              <w:rPr>
                <w:kern w:val="2"/>
                <w:sz w:val="21"/>
                <w:szCs w:val="21"/>
              </w:rPr>
            </w:pPr>
            <w:r>
              <w:rPr>
                <w:kern w:val="2"/>
                <w:sz w:val="21"/>
                <w:szCs w:val="21"/>
              </w:rPr>
              <w:t>(0.0002)</w:t>
            </w:r>
          </w:p>
        </w:tc>
        <w:tc>
          <w:tcPr>
            <w:tcW w:w="1116" w:type="dxa"/>
            <w:gridSpan w:val="2"/>
            <w:shd w:val="clear" w:color="auto" w:fill="FFFFFF"/>
            <w:vAlign w:val="center"/>
          </w:tcPr>
          <w:p>
            <w:pPr>
              <w:jc w:val="center"/>
              <w:rPr>
                <w:kern w:val="2"/>
                <w:sz w:val="21"/>
                <w:szCs w:val="21"/>
              </w:rPr>
            </w:pPr>
          </w:p>
        </w:tc>
        <w:tc>
          <w:tcPr>
            <w:tcW w:w="1116" w:type="dxa"/>
            <w:gridSpan w:val="2"/>
            <w:shd w:val="clear" w:color="auto" w:fill="FFFFFF"/>
            <w:vAlign w:val="center"/>
          </w:tcPr>
          <w:p>
            <w:pPr>
              <w:jc w:val="center"/>
              <w:rPr>
                <w:kern w:val="2"/>
                <w:sz w:val="21"/>
                <w:szCs w:val="21"/>
                <w:vertAlign w:val="superscript"/>
              </w:rPr>
            </w:pPr>
            <w:r>
              <w:rPr>
                <w:kern w:val="2"/>
                <w:sz w:val="21"/>
                <w:szCs w:val="21"/>
              </w:rPr>
              <w:t>0.0018</w:t>
            </w:r>
            <w:r>
              <w:rPr>
                <w:kern w:val="2"/>
                <w:sz w:val="21"/>
                <w:szCs w:val="21"/>
                <w:vertAlign w:val="superscript"/>
              </w:rPr>
              <w:t>***</w:t>
            </w:r>
          </w:p>
          <w:p>
            <w:pPr>
              <w:jc w:val="center"/>
              <w:rPr>
                <w:kern w:val="2"/>
                <w:sz w:val="21"/>
                <w:szCs w:val="21"/>
              </w:rPr>
            </w:pPr>
            <w:r>
              <w:rPr>
                <w:kern w:val="2"/>
                <w:sz w:val="21"/>
                <w:szCs w:val="21"/>
              </w:rPr>
              <w:t>(0.0002)</w:t>
            </w:r>
          </w:p>
        </w:tc>
        <w:tc>
          <w:tcPr>
            <w:tcW w:w="1119" w:type="dxa"/>
            <w:gridSpan w:val="2"/>
            <w:shd w:val="clear" w:color="auto" w:fill="FFFFFF"/>
            <w:vAlign w:val="center"/>
          </w:tcPr>
          <w:p>
            <w:pPr>
              <w:jc w:val="center"/>
              <w:rPr>
                <w:kern w:val="2"/>
                <w:sz w:val="21"/>
                <w:szCs w:val="21"/>
              </w:rPr>
            </w:pPr>
          </w:p>
        </w:tc>
      </w:tr>
      <w:tr>
        <w:tblPrEx>
          <w:shd w:val="clear" w:color="auto" w:fill="FFFFFF"/>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kern w:val="2"/>
                <w:sz w:val="21"/>
                <w:szCs w:val="21"/>
              </w:rPr>
              <w:t>TO</w:t>
            </w:r>
          </w:p>
        </w:tc>
        <w:tc>
          <w:tcPr>
            <w:tcW w:w="1116" w:type="dxa"/>
            <w:shd w:val="clear" w:color="auto" w:fill="FFFFFF"/>
            <w:vAlign w:val="center"/>
          </w:tcPr>
          <w:p>
            <w:pPr>
              <w:jc w:val="center"/>
              <w:rPr>
                <w:kern w:val="2"/>
                <w:sz w:val="21"/>
                <w:szCs w:val="21"/>
              </w:rPr>
            </w:pPr>
          </w:p>
        </w:tc>
        <w:tc>
          <w:tcPr>
            <w:tcW w:w="1156" w:type="dxa"/>
            <w:gridSpan w:val="2"/>
            <w:shd w:val="clear" w:color="auto" w:fill="FFFFFF"/>
            <w:vAlign w:val="center"/>
          </w:tcPr>
          <w:p>
            <w:pPr>
              <w:jc w:val="center"/>
              <w:rPr>
                <w:kern w:val="2"/>
                <w:sz w:val="21"/>
                <w:szCs w:val="21"/>
                <w:vertAlign w:val="superscript"/>
              </w:rPr>
            </w:pPr>
            <w:r>
              <w:rPr>
                <w:kern w:val="2"/>
                <w:sz w:val="21"/>
                <w:szCs w:val="21"/>
              </w:rPr>
              <w:t>-0.0107</w:t>
            </w:r>
            <w:r>
              <w:rPr>
                <w:kern w:val="2"/>
                <w:sz w:val="21"/>
                <w:szCs w:val="21"/>
                <w:vertAlign w:val="superscript"/>
              </w:rPr>
              <w:t>***</w:t>
            </w:r>
          </w:p>
          <w:p>
            <w:pPr>
              <w:jc w:val="center"/>
              <w:rPr>
                <w:kern w:val="2"/>
                <w:sz w:val="21"/>
                <w:szCs w:val="21"/>
              </w:rPr>
            </w:pPr>
            <w:r>
              <w:rPr>
                <w:kern w:val="2"/>
                <w:sz w:val="21"/>
                <w:szCs w:val="21"/>
              </w:rPr>
              <w:t>(0.0024)</w:t>
            </w:r>
          </w:p>
        </w:tc>
        <w:tc>
          <w:tcPr>
            <w:tcW w:w="1126" w:type="dxa"/>
            <w:gridSpan w:val="2"/>
            <w:shd w:val="clear" w:color="auto" w:fill="FFFFFF"/>
            <w:vAlign w:val="center"/>
          </w:tcPr>
          <w:p>
            <w:pPr>
              <w:jc w:val="center"/>
              <w:rPr>
                <w:kern w:val="2"/>
                <w:sz w:val="21"/>
                <w:szCs w:val="21"/>
              </w:rPr>
            </w:pPr>
          </w:p>
        </w:tc>
        <w:tc>
          <w:tcPr>
            <w:tcW w:w="1116" w:type="dxa"/>
            <w:gridSpan w:val="2"/>
            <w:shd w:val="clear" w:color="auto" w:fill="FFFFFF"/>
            <w:vAlign w:val="center"/>
          </w:tcPr>
          <w:p>
            <w:pPr>
              <w:jc w:val="center"/>
              <w:rPr>
                <w:kern w:val="2"/>
                <w:sz w:val="21"/>
                <w:szCs w:val="21"/>
                <w:vertAlign w:val="superscript"/>
              </w:rPr>
            </w:pPr>
            <w:r>
              <w:rPr>
                <w:kern w:val="2"/>
                <w:sz w:val="21"/>
                <w:szCs w:val="21"/>
              </w:rPr>
              <w:t>-0.0041</w:t>
            </w:r>
            <w:r>
              <w:rPr>
                <w:kern w:val="2"/>
                <w:sz w:val="21"/>
                <w:szCs w:val="21"/>
                <w:vertAlign w:val="superscript"/>
              </w:rPr>
              <w:t>***</w:t>
            </w:r>
          </w:p>
          <w:p>
            <w:pPr>
              <w:jc w:val="center"/>
              <w:rPr>
                <w:kern w:val="2"/>
                <w:sz w:val="21"/>
                <w:szCs w:val="21"/>
              </w:rPr>
            </w:pPr>
            <w:r>
              <w:rPr>
                <w:kern w:val="2"/>
                <w:sz w:val="21"/>
                <w:szCs w:val="21"/>
              </w:rPr>
              <w:t>(0.0012)</w:t>
            </w:r>
          </w:p>
        </w:tc>
        <w:tc>
          <w:tcPr>
            <w:tcW w:w="1116" w:type="dxa"/>
            <w:gridSpan w:val="2"/>
            <w:shd w:val="clear" w:color="auto" w:fill="FFFFFF"/>
            <w:vAlign w:val="center"/>
          </w:tcPr>
          <w:p>
            <w:pPr>
              <w:jc w:val="center"/>
              <w:rPr>
                <w:kern w:val="2"/>
                <w:sz w:val="21"/>
                <w:szCs w:val="21"/>
              </w:rPr>
            </w:pPr>
          </w:p>
        </w:tc>
        <w:tc>
          <w:tcPr>
            <w:tcW w:w="1119" w:type="dxa"/>
            <w:gridSpan w:val="2"/>
            <w:shd w:val="clear" w:color="auto" w:fill="FFFFFF"/>
            <w:vAlign w:val="center"/>
          </w:tcPr>
          <w:p>
            <w:pPr>
              <w:jc w:val="center"/>
              <w:rPr>
                <w:kern w:val="2"/>
                <w:sz w:val="21"/>
                <w:szCs w:val="21"/>
                <w:vertAlign w:val="superscript"/>
              </w:rPr>
            </w:pPr>
            <w:r>
              <w:rPr>
                <w:kern w:val="2"/>
                <w:sz w:val="21"/>
                <w:szCs w:val="21"/>
              </w:rPr>
              <w:t>-0.0037</w:t>
            </w:r>
            <w:r>
              <w:rPr>
                <w:kern w:val="2"/>
                <w:sz w:val="21"/>
                <w:szCs w:val="21"/>
                <w:vertAlign w:val="superscript"/>
              </w:rPr>
              <w:t>***</w:t>
            </w:r>
          </w:p>
          <w:p>
            <w:pPr>
              <w:jc w:val="center"/>
              <w:rPr>
                <w:kern w:val="2"/>
                <w:sz w:val="21"/>
                <w:szCs w:val="21"/>
              </w:rPr>
            </w:pPr>
            <w:r>
              <w:rPr>
                <w:kern w:val="2"/>
                <w:sz w:val="21"/>
                <w:szCs w:val="21"/>
              </w:rPr>
              <w:t>(0.0012)</w:t>
            </w:r>
          </w:p>
        </w:tc>
      </w:tr>
      <w:tr>
        <w:tblPrEx>
          <w:shd w:val="clear" w:color="auto" w:fill="FFFFFF"/>
          <w:tblCellMar>
            <w:top w:w="0" w:type="dxa"/>
            <w:left w:w="108" w:type="dxa"/>
            <w:bottom w:w="0" w:type="dxa"/>
            <w:right w:w="108" w:type="dxa"/>
          </w:tblCellMar>
        </w:tblPrEx>
        <w:trPr>
          <w:trHeight w:val="284" w:hRule="atLeast"/>
          <w:jc w:val="center"/>
        </w:trPr>
        <w:tc>
          <w:tcPr>
            <w:tcW w:w="1557" w:type="dxa"/>
            <w:shd w:val="clear" w:color="auto" w:fill="FFFFFF"/>
            <w:vAlign w:val="center"/>
          </w:tcPr>
          <w:p>
            <w:pPr>
              <w:rPr>
                <w:b/>
                <w:bCs/>
                <w:kern w:val="2"/>
                <w:sz w:val="21"/>
                <w:szCs w:val="21"/>
              </w:rPr>
            </w:pPr>
            <w:r>
              <w:rPr>
                <w:kern w:val="2"/>
                <w:sz w:val="21"/>
                <w:szCs w:val="21"/>
              </w:rPr>
              <w:t>Adj R-squared</w:t>
            </w:r>
          </w:p>
        </w:tc>
        <w:tc>
          <w:tcPr>
            <w:tcW w:w="1116" w:type="dxa"/>
            <w:shd w:val="clear" w:color="auto" w:fill="FFFFFF"/>
            <w:vAlign w:val="center"/>
          </w:tcPr>
          <w:p>
            <w:pPr>
              <w:jc w:val="center"/>
              <w:rPr>
                <w:kern w:val="2"/>
                <w:sz w:val="21"/>
                <w:szCs w:val="21"/>
              </w:rPr>
            </w:pPr>
            <w:r>
              <w:rPr>
                <w:kern w:val="2"/>
                <w:sz w:val="21"/>
                <w:szCs w:val="21"/>
              </w:rPr>
              <w:t>0.2198</w:t>
            </w:r>
          </w:p>
        </w:tc>
        <w:tc>
          <w:tcPr>
            <w:tcW w:w="1156" w:type="dxa"/>
            <w:gridSpan w:val="2"/>
            <w:shd w:val="clear" w:color="auto" w:fill="FFFFFF"/>
            <w:vAlign w:val="center"/>
          </w:tcPr>
          <w:p>
            <w:pPr>
              <w:jc w:val="center"/>
              <w:rPr>
                <w:kern w:val="2"/>
                <w:sz w:val="21"/>
                <w:szCs w:val="21"/>
              </w:rPr>
            </w:pPr>
            <w:r>
              <w:rPr>
                <w:kern w:val="2"/>
                <w:sz w:val="21"/>
                <w:szCs w:val="21"/>
              </w:rPr>
              <w:t>0.0991</w:t>
            </w:r>
          </w:p>
        </w:tc>
        <w:tc>
          <w:tcPr>
            <w:tcW w:w="1126" w:type="dxa"/>
            <w:gridSpan w:val="2"/>
            <w:shd w:val="clear" w:color="auto" w:fill="FFFFFF"/>
            <w:vAlign w:val="center"/>
          </w:tcPr>
          <w:p>
            <w:pPr>
              <w:jc w:val="center"/>
              <w:rPr>
                <w:kern w:val="2"/>
                <w:sz w:val="21"/>
                <w:szCs w:val="21"/>
              </w:rPr>
            </w:pPr>
            <w:r>
              <w:rPr>
                <w:kern w:val="2"/>
                <w:sz w:val="21"/>
                <w:szCs w:val="21"/>
              </w:rPr>
              <w:t>0.3941</w:t>
            </w:r>
          </w:p>
        </w:tc>
        <w:tc>
          <w:tcPr>
            <w:tcW w:w="1116" w:type="dxa"/>
            <w:gridSpan w:val="2"/>
            <w:shd w:val="clear" w:color="auto" w:fill="FFFFFF"/>
            <w:vAlign w:val="center"/>
          </w:tcPr>
          <w:p>
            <w:pPr>
              <w:jc w:val="center"/>
              <w:rPr>
                <w:kern w:val="2"/>
                <w:sz w:val="21"/>
                <w:szCs w:val="21"/>
              </w:rPr>
            </w:pPr>
            <w:r>
              <w:rPr>
                <w:kern w:val="2"/>
                <w:sz w:val="21"/>
                <w:szCs w:val="21"/>
              </w:rPr>
              <w:t>0.0970</w:t>
            </w:r>
          </w:p>
        </w:tc>
        <w:tc>
          <w:tcPr>
            <w:tcW w:w="1116" w:type="dxa"/>
            <w:gridSpan w:val="2"/>
            <w:shd w:val="clear" w:color="auto" w:fill="FFFFFF"/>
            <w:vAlign w:val="center"/>
          </w:tcPr>
          <w:p>
            <w:pPr>
              <w:jc w:val="center"/>
              <w:rPr>
                <w:kern w:val="2"/>
                <w:sz w:val="21"/>
                <w:szCs w:val="21"/>
              </w:rPr>
            </w:pPr>
            <w:r>
              <w:rPr>
                <w:kern w:val="2"/>
                <w:sz w:val="21"/>
                <w:szCs w:val="21"/>
              </w:rPr>
              <w:t>0.3946</w:t>
            </w:r>
          </w:p>
        </w:tc>
        <w:tc>
          <w:tcPr>
            <w:tcW w:w="1119" w:type="dxa"/>
            <w:gridSpan w:val="2"/>
            <w:shd w:val="clear" w:color="auto" w:fill="FFFFFF"/>
            <w:vAlign w:val="center"/>
          </w:tcPr>
          <w:p>
            <w:pPr>
              <w:jc w:val="center"/>
              <w:rPr>
                <w:kern w:val="2"/>
                <w:sz w:val="21"/>
                <w:szCs w:val="21"/>
              </w:rPr>
            </w:pPr>
            <w:r>
              <w:rPr>
                <w:kern w:val="2"/>
                <w:sz w:val="21"/>
                <w:szCs w:val="21"/>
              </w:rPr>
              <w:t>0.0931</w:t>
            </w:r>
          </w:p>
        </w:tc>
      </w:tr>
      <w:tr>
        <w:tblPrEx>
          <w:shd w:val="clear" w:color="auto" w:fill="FFFFFF"/>
          <w:tblCellMar>
            <w:top w:w="0" w:type="dxa"/>
            <w:left w:w="108" w:type="dxa"/>
            <w:bottom w:w="0" w:type="dxa"/>
            <w:right w:w="108" w:type="dxa"/>
          </w:tblCellMar>
        </w:tblPrEx>
        <w:trPr>
          <w:trHeight w:val="355" w:hRule="atLeast"/>
          <w:jc w:val="center"/>
        </w:trPr>
        <w:tc>
          <w:tcPr>
            <w:tcW w:w="8306" w:type="dxa"/>
            <w:gridSpan w:val="12"/>
            <w:tcBorders>
              <w:top w:val="single" w:color="auto" w:sz="4" w:space="0"/>
              <w:bottom w:val="single" w:color="auto" w:sz="4" w:space="0"/>
            </w:tcBorders>
            <w:shd w:val="clear" w:color="auto" w:fill="FFFFFF"/>
            <w:vAlign w:val="center"/>
          </w:tcPr>
          <w:p>
            <w:pPr>
              <w:rPr>
                <w:b/>
                <w:bCs/>
                <w:kern w:val="2"/>
                <w:sz w:val="21"/>
                <w:szCs w:val="21"/>
              </w:rPr>
            </w:pPr>
            <w:r>
              <w:rPr>
                <w:rFonts w:hint="eastAsia"/>
                <w:b/>
                <w:bCs/>
                <w:kern w:val="2"/>
                <w:sz w:val="21"/>
                <w:szCs w:val="21"/>
              </w:rPr>
              <w:t>子表3：剩余期限3</w:t>
            </w:r>
          </w:p>
        </w:tc>
      </w:tr>
      <w:tr>
        <w:tblPrEx>
          <w:shd w:val="clear" w:color="auto" w:fill="FFFFFF"/>
          <w:tblCellMar>
            <w:top w:w="0" w:type="dxa"/>
            <w:left w:w="108" w:type="dxa"/>
            <w:bottom w:w="0" w:type="dxa"/>
            <w:right w:w="108" w:type="dxa"/>
          </w:tblCellMar>
        </w:tblPrEx>
        <w:trPr>
          <w:jc w:val="center"/>
        </w:trPr>
        <w:tc>
          <w:tcPr>
            <w:tcW w:w="1557" w:type="dxa"/>
            <w:vMerge w:val="restart"/>
            <w:tcBorders>
              <w:top w:val="single" w:color="auto" w:sz="4" w:space="0"/>
            </w:tcBorders>
            <w:shd w:val="clear" w:color="auto" w:fill="FFFFFF"/>
            <w:vAlign w:val="center"/>
          </w:tcPr>
          <w:p>
            <w:pPr>
              <w:rPr>
                <w:b/>
                <w:bCs/>
                <w:kern w:val="2"/>
                <w:sz w:val="21"/>
                <w:szCs w:val="21"/>
              </w:rPr>
            </w:pPr>
            <w:r>
              <w:rPr>
                <w:kern w:val="2"/>
                <w:sz w:val="21"/>
                <w:szCs w:val="21"/>
              </w:rPr>
              <w:t>Variables</w:t>
            </w:r>
          </w:p>
        </w:tc>
        <w:tc>
          <w:tcPr>
            <w:tcW w:w="2410" w:type="dxa"/>
            <w:gridSpan w:val="4"/>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行权价格1</w:t>
            </w:r>
          </w:p>
        </w:tc>
        <w:tc>
          <w:tcPr>
            <w:tcW w:w="2184" w:type="dxa"/>
            <w:gridSpan w:val="4"/>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行权价格2</w:t>
            </w:r>
          </w:p>
        </w:tc>
        <w:tc>
          <w:tcPr>
            <w:tcW w:w="2155" w:type="dxa"/>
            <w:gridSpan w:val="3"/>
            <w:tcBorders>
              <w:top w:val="single" w:color="auto" w:sz="4" w:space="0"/>
              <w:bottom w:val="single" w:color="auto" w:sz="4" w:space="0"/>
            </w:tcBorders>
            <w:shd w:val="clear" w:color="auto" w:fill="FFFFFF"/>
            <w:vAlign w:val="center"/>
          </w:tcPr>
          <w:p>
            <w:pPr>
              <w:jc w:val="center"/>
              <w:rPr>
                <w:kern w:val="2"/>
                <w:sz w:val="21"/>
                <w:szCs w:val="21"/>
              </w:rPr>
            </w:pPr>
            <w:r>
              <w:rPr>
                <w:rFonts w:hint="eastAsia"/>
                <w:kern w:val="2"/>
                <w:sz w:val="21"/>
                <w:szCs w:val="21"/>
              </w:rPr>
              <w:t>行权价格3</w:t>
            </w:r>
          </w:p>
        </w:tc>
      </w:tr>
      <w:tr>
        <w:tblPrEx>
          <w:shd w:val="clear" w:color="auto" w:fill="FFFFFF"/>
          <w:tblCellMar>
            <w:top w:w="0" w:type="dxa"/>
            <w:left w:w="108" w:type="dxa"/>
            <w:bottom w:w="0" w:type="dxa"/>
            <w:right w:w="108" w:type="dxa"/>
          </w:tblCellMar>
        </w:tblPrEx>
        <w:trPr>
          <w:jc w:val="center"/>
        </w:trPr>
        <w:tc>
          <w:tcPr>
            <w:tcW w:w="1557" w:type="dxa"/>
            <w:vMerge w:val="continue"/>
            <w:tcBorders>
              <w:top w:val="single" w:color="auto" w:sz="4" w:space="0"/>
            </w:tcBorders>
            <w:shd w:val="clear" w:color="auto" w:fill="FFFFFF"/>
            <w:vAlign w:val="center"/>
          </w:tcPr>
          <w:p>
            <w:pPr>
              <w:rPr>
                <w:b/>
                <w:bCs/>
                <w:kern w:val="2"/>
                <w:sz w:val="21"/>
                <w:szCs w:val="21"/>
              </w:rPr>
            </w:pPr>
          </w:p>
        </w:tc>
        <w:tc>
          <w:tcPr>
            <w:tcW w:w="1254"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模型1</w:t>
            </w:r>
          </w:p>
        </w:tc>
        <w:tc>
          <w:tcPr>
            <w:tcW w:w="1156"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模型2</w:t>
            </w:r>
          </w:p>
        </w:tc>
        <w:tc>
          <w:tcPr>
            <w:tcW w:w="1103"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模型3</w:t>
            </w:r>
          </w:p>
        </w:tc>
        <w:tc>
          <w:tcPr>
            <w:tcW w:w="1081"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模型4</w:t>
            </w:r>
          </w:p>
        </w:tc>
        <w:tc>
          <w:tcPr>
            <w:tcW w:w="1072" w:type="dxa"/>
            <w:gridSpan w:val="2"/>
            <w:tcBorders>
              <w:top w:val="single" w:color="auto" w:sz="4" w:space="0"/>
            </w:tcBorders>
            <w:shd w:val="clear" w:color="auto" w:fill="FFFFFF"/>
            <w:vAlign w:val="center"/>
          </w:tcPr>
          <w:p>
            <w:pPr>
              <w:jc w:val="center"/>
              <w:rPr>
                <w:kern w:val="2"/>
                <w:sz w:val="21"/>
                <w:szCs w:val="21"/>
              </w:rPr>
            </w:pPr>
            <w:r>
              <w:rPr>
                <w:rFonts w:hint="eastAsia"/>
                <w:kern w:val="2"/>
                <w:sz w:val="21"/>
                <w:szCs w:val="21"/>
              </w:rPr>
              <w:t>模型5</w:t>
            </w:r>
          </w:p>
        </w:tc>
        <w:tc>
          <w:tcPr>
            <w:tcW w:w="1083" w:type="dxa"/>
            <w:tcBorders>
              <w:top w:val="single" w:color="auto" w:sz="4" w:space="0"/>
            </w:tcBorders>
            <w:shd w:val="clear" w:color="auto" w:fill="FFFFFF"/>
            <w:vAlign w:val="center"/>
          </w:tcPr>
          <w:p>
            <w:pPr>
              <w:jc w:val="center"/>
              <w:rPr>
                <w:kern w:val="2"/>
                <w:sz w:val="21"/>
                <w:szCs w:val="21"/>
              </w:rPr>
            </w:pPr>
            <w:r>
              <w:rPr>
                <w:rFonts w:hint="eastAsia"/>
                <w:kern w:val="2"/>
                <w:sz w:val="21"/>
                <w:szCs w:val="21"/>
              </w:rPr>
              <w:t>模型6</w:t>
            </w:r>
          </w:p>
        </w:tc>
      </w:tr>
      <w:tr>
        <w:tblPrEx>
          <w:shd w:val="clear" w:color="auto" w:fill="FFFFFF"/>
          <w:tblCellMar>
            <w:top w:w="0" w:type="dxa"/>
            <w:left w:w="108" w:type="dxa"/>
            <w:bottom w:w="0" w:type="dxa"/>
            <w:right w:w="108" w:type="dxa"/>
          </w:tblCellMar>
        </w:tblPrEx>
        <w:trPr>
          <w:trHeight w:val="155" w:hRule="atLeast"/>
          <w:jc w:val="center"/>
        </w:trPr>
        <w:tc>
          <w:tcPr>
            <w:tcW w:w="1557" w:type="dxa"/>
            <w:tcBorders>
              <w:top w:val="single" w:color="auto" w:sz="4" w:space="0"/>
              <w:bottom w:val="nil"/>
            </w:tcBorders>
            <w:shd w:val="clear" w:color="auto" w:fill="FFFFFF"/>
            <w:vAlign w:val="center"/>
          </w:tcPr>
          <w:p>
            <w:pPr>
              <w:rPr>
                <w:b/>
                <w:bCs/>
                <w:kern w:val="2"/>
                <w:sz w:val="21"/>
                <w:szCs w:val="21"/>
              </w:rPr>
            </w:pPr>
            <w:r>
              <w:rPr>
                <w:kern w:val="2"/>
                <w:sz w:val="21"/>
                <w:szCs w:val="21"/>
              </w:rPr>
              <w:t>Const</w:t>
            </w:r>
          </w:p>
        </w:tc>
        <w:tc>
          <w:tcPr>
            <w:tcW w:w="1116" w:type="dxa"/>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0.1971</w:t>
            </w:r>
            <w:r>
              <w:rPr>
                <w:kern w:val="2"/>
                <w:sz w:val="21"/>
                <w:szCs w:val="21"/>
                <w:vertAlign w:val="superscript"/>
              </w:rPr>
              <w:t>**</w:t>
            </w:r>
          </w:p>
          <w:p>
            <w:pPr>
              <w:jc w:val="center"/>
              <w:rPr>
                <w:kern w:val="2"/>
                <w:sz w:val="21"/>
                <w:szCs w:val="21"/>
              </w:rPr>
            </w:pPr>
            <w:r>
              <w:rPr>
                <w:kern w:val="2"/>
                <w:sz w:val="21"/>
                <w:szCs w:val="21"/>
              </w:rPr>
              <w:t>(0.0917)</w:t>
            </w:r>
          </w:p>
        </w:tc>
        <w:tc>
          <w:tcPr>
            <w:tcW w:w="1156" w:type="dxa"/>
            <w:gridSpan w:val="2"/>
            <w:tcBorders>
              <w:top w:val="single" w:color="auto" w:sz="4" w:space="0"/>
              <w:bottom w:val="nil"/>
            </w:tcBorders>
            <w:shd w:val="clear" w:color="auto" w:fill="FFFFFF"/>
            <w:vAlign w:val="center"/>
          </w:tcPr>
          <w:p>
            <w:pPr>
              <w:jc w:val="center"/>
              <w:rPr>
                <w:kern w:val="2"/>
                <w:sz w:val="21"/>
                <w:szCs w:val="21"/>
              </w:rPr>
            </w:pPr>
            <w:r>
              <w:rPr>
                <w:kern w:val="2"/>
                <w:sz w:val="21"/>
                <w:szCs w:val="21"/>
              </w:rPr>
              <w:t>0.0743</w:t>
            </w:r>
          </w:p>
          <w:p>
            <w:pPr>
              <w:jc w:val="center"/>
              <w:rPr>
                <w:kern w:val="2"/>
                <w:sz w:val="21"/>
                <w:szCs w:val="21"/>
              </w:rPr>
            </w:pPr>
            <w:r>
              <w:rPr>
                <w:kern w:val="2"/>
                <w:sz w:val="21"/>
                <w:szCs w:val="21"/>
              </w:rPr>
              <w:t>(0.1107)</w:t>
            </w:r>
          </w:p>
        </w:tc>
        <w:tc>
          <w:tcPr>
            <w:tcW w:w="1126" w:type="dxa"/>
            <w:gridSpan w:val="2"/>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0.1697</w:t>
            </w:r>
            <w:r>
              <w:rPr>
                <w:kern w:val="2"/>
                <w:sz w:val="21"/>
                <w:szCs w:val="21"/>
                <w:vertAlign w:val="superscript"/>
              </w:rPr>
              <w:t>***</w:t>
            </w:r>
          </w:p>
          <w:p>
            <w:pPr>
              <w:jc w:val="center"/>
              <w:rPr>
                <w:kern w:val="2"/>
                <w:sz w:val="21"/>
                <w:szCs w:val="21"/>
              </w:rPr>
            </w:pPr>
            <w:r>
              <w:rPr>
                <w:kern w:val="2"/>
                <w:sz w:val="21"/>
                <w:szCs w:val="21"/>
              </w:rPr>
              <w:t>(0.0424)</w:t>
            </w:r>
          </w:p>
        </w:tc>
        <w:tc>
          <w:tcPr>
            <w:tcW w:w="1116" w:type="dxa"/>
            <w:gridSpan w:val="2"/>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0.1246</w:t>
            </w:r>
            <w:r>
              <w:rPr>
                <w:kern w:val="2"/>
                <w:sz w:val="21"/>
                <w:szCs w:val="21"/>
                <w:vertAlign w:val="superscript"/>
              </w:rPr>
              <w:t>**</w:t>
            </w:r>
          </w:p>
          <w:p>
            <w:pPr>
              <w:jc w:val="center"/>
              <w:rPr>
                <w:kern w:val="2"/>
                <w:sz w:val="21"/>
                <w:szCs w:val="21"/>
              </w:rPr>
            </w:pPr>
            <w:r>
              <w:rPr>
                <w:kern w:val="2"/>
                <w:sz w:val="21"/>
                <w:szCs w:val="21"/>
              </w:rPr>
              <w:t>(0.0578)</w:t>
            </w:r>
          </w:p>
        </w:tc>
        <w:tc>
          <w:tcPr>
            <w:tcW w:w="1116" w:type="dxa"/>
            <w:gridSpan w:val="2"/>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0.1456</w:t>
            </w:r>
            <w:r>
              <w:rPr>
                <w:kern w:val="2"/>
                <w:sz w:val="21"/>
                <w:szCs w:val="21"/>
                <w:vertAlign w:val="superscript"/>
              </w:rPr>
              <w:t>**</w:t>
            </w:r>
          </w:p>
          <w:p>
            <w:pPr>
              <w:jc w:val="center"/>
              <w:rPr>
                <w:kern w:val="2"/>
                <w:sz w:val="21"/>
                <w:szCs w:val="21"/>
              </w:rPr>
            </w:pPr>
            <w:r>
              <w:rPr>
                <w:kern w:val="2"/>
                <w:sz w:val="21"/>
                <w:szCs w:val="21"/>
              </w:rPr>
              <w:t>(0.0405)</w:t>
            </w:r>
          </w:p>
        </w:tc>
        <w:tc>
          <w:tcPr>
            <w:tcW w:w="1119" w:type="dxa"/>
            <w:gridSpan w:val="2"/>
            <w:tcBorders>
              <w:top w:val="single" w:color="auto" w:sz="4" w:space="0"/>
              <w:bottom w:val="nil"/>
            </w:tcBorders>
            <w:shd w:val="clear" w:color="auto" w:fill="FFFFFF"/>
            <w:vAlign w:val="center"/>
          </w:tcPr>
          <w:p>
            <w:pPr>
              <w:jc w:val="center"/>
              <w:rPr>
                <w:kern w:val="2"/>
                <w:sz w:val="21"/>
                <w:szCs w:val="21"/>
                <w:vertAlign w:val="superscript"/>
              </w:rPr>
            </w:pPr>
            <w:r>
              <w:rPr>
                <w:kern w:val="2"/>
                <w:sz w:val="21"/>
                <w:szCs w:val="21"/>
              </w:rPr>
              <w:t>0.1016</w:t>
            </w:r>
            <w:r>
              <w:rPr>
                <w:kern w:val="2"/>
                <w:sz w:val="21"/>
                <w:szCs w:val="21"/>
                <w:vertAlign w:val="superscript"/>
              </w:rPr>
              <w:t>*</w:t>
            </w:r>
          </w:p>
          <w:p>
            <w:pPr>
              <w:jc w:val="center"/>
              <w:rPr>
                <w:kern w:val="2"/>
                <w:sz w:val="21"/>
                <w:szCs w:val="21"/>
              </w:rPr>
            </w:pPr>
            <w:r>
              <w:rPr>
                <w:kern w:val="2"/>
                <w:sz w:val="21"/>
                <w:szCs w:val="21"/>
              </w:rPr>
              <w:t>(0.0555)</w:t>
            </w:r>
          </w:p>
        </w:tc>
      </w:tr>
      <w:tr>
        <w:tblPrEx>
          <w:shd w:val="clear" w:color="auto" w:fill="FFFFFF"/>
          <w:tblCellMar>
            <w:top w:w="0" w:type="dxa"/>
            <w:left w:w="108" w:type="dxa"/>
            <w:bottom w:w="0" w:type="dxa"/>
            <w:right w:w="108" w:type="dxa"/>
          </w:tblCellMar>
        </w:tblPrEx>
        <w:trPr>
          <w:trHeight w:val="594" w:hRule="atLeast"/>
          <w:jc w:val="center"/>
        </w:trPr>
        <w:tc>
          <w:tcPr>
            <w:tcW w:w="1557" w:type="dxa"/>
            <w:tcBorders>
              <w:top w:val="nil"/>
              <w:left w:val="nil"/>
              <w:bottom w:val="single" w:color="auto" w:sz="4" w:space="0"/>
              <w:right w:val="nil"/>
            </w:tcBorders>
            <w:shd w:val="clear" w:color="auto" w:fill="FFFFFF"/>
            <w:vAlign w:val="center"/>
          </w:tcPr>
          <w:p>
            <w:pPr>
              <w:rPr>
                <w:b/>
                <w:bCs/>
                <w:kern w:val="2"/>
                <w:sz w:val="21"/>
                <w:szCs w:val="21"/>
              </w:rPr>
            </w:pPr>
            <w:r>
              <w:rPr>
                <w:rFonts w:hint="eastAsia"/>
                <w:kern w:val="2"/>
                <w:sz w:val="21"/>
                <w:szCs w:val="21"/>
              </w:rPr>
              <w:t>F</w:t>
            </w:r>
            <w:r>
              <w:rPr>
                <w:kern w:val="2"/>
                <w:sz w:val="21"/>
                <w:szCs w:val="21"/>
              </w:rPr>
              <w:t>B</w:t>
            </w:r>
          </w:p>
        </w:tc>
        <w:tc>
          <w:tcPr>
            <w:tcW w:w="1116" w:type="dxa"/>
            <w:tcBorders>
              <w:top w:val="nil"/>
              <w:left w:val="nil"/>
              <w:bottom w:val="single" w:color="auto" w:sz="4" w:space="0"/>
              <w:right w:val="nil"/>
            </w:tcBorders>
            <w:shd w:val="clear" w:color="auto" w:fill="FFFFFF"/>
            <w:vAlign w:val="center"/>
          </w:tcPr>
          <w:p>
            <w:pPr>
              <w:jc w:val="center"/>
              <w:rPr>
                <w:kern w:val="2"/>
                <w:sz w:val="21"/>
                <w:szCs w:val="21"/>
                <w:vertAlign w:val="superscript"/>
              </w:rPr>
            </w:pPr>
            <w:r>
              <w:rPr>
                <w:kern w:val="2"/>
                <w:sz w:val="21"/>
                <w:szCs w:val="21"/>
              </w:rPr>
              <w:t>0.0026</w:t>
            </w:r>
            <w:r>
              <w:rPr>
                <w:kern w:val="2"/>
                <w:sz w:val="21"/>
                <w:szCs w:val="21"/>
                <w:vertAlign w:val="superscript"/>
              </w:rPr>
              <w:t>***</w:t>
            </w:r>
          </w:p>
          <w:p>
            <w:pPr>
              <w:jc w:val="center"/>
              <w:rPr>
                <w:kern w:val="2"/>
                <w:sz w:val="21"/>
                <w:szCs w:val="21"/>
              </w:rPr>
            </w:pPr>
            <w:r>
              <w:rPr>
                <w:kern w:val="2"/>
                <w:sz w:val="21"/>
                <w:szCs w:val="21"/>
              </w:rPr>
              <w:t>(0.0004)</w:t>
            </w:r>
          </w:p>
        </w:tc>
        <w:tc>
          <w:tcPr>
            <w:tcW w:w="1156" w:type="dxa"/>
            <w:gridSpan w:val="2"/>
            <w:tcBorders>
              <w:top w:val="nil"/>
              <w:left w:val="nil"/>
              <w:bottom w:val="single" w:color="auto" w:sz="4" w:space="0"/>
              <w:right w:val="nil"/>
            </w:tcBorders>
            <w:shd w:val="clear" w:color="auto" w:fill="FFFFFF"/>
            <w:vAlign w:val="center"/>
          </w:tcPr>
          <w:p>
            <w:pPr>
              <w:jc w:val="center"/>
              <w:rPr>
                <w:kern w:val="2"/>
                <w:sz w:val="21"/>
                <w:szCs w:val="21"/>
              </w:rPr>
            </w:pPr>
          </w:p>
        </w:tc>
        <w:tc>
          <w:tcPr>
            <w:tcW w:w="1126" w:type="dxa"/>
            <w:gridSpan w:val="2"/>
            <w:tcBorders>
              <w:top w:val="nil"/>
              <w:left w:val="nil"/>
              <w:bottom w:val="single" w:color="auto" w:sz="4" w:space="0"/>
              <w:right w:val="nil"/>
            </w:tcBorders>
            <w:shd w:val="clear" w:color="auto" w:fill="FFFFFF"/>
            <w:vAlign w:val="center"/>
          </w:tcPr>
          <w:p>
            <w:pPr>
              <w:jc w:val="center"/>
              <w:rPr>
                <w:kern w:val="2"/>
                <w:sz w:val="21"/>
                <w:szCs w:val="21"/>
                <w:vertAlign w:val="superscript"/>
              </w:rPr>
            </w:pPr>
            <w:r>
              <w:rPr>
                <w:kern w:val="2"/>
                <w:sz w:val="21"/>
                <w:szCs w:val="21"/>
              </w:rPr>
              <w:t>0.0018</w:t>
            </w:r>
            <w:r>
              <w:rPr>
                <w:kern w:val="2"/>
                <w:sz w:val="21"/>
                <w:szCs w:val="21"/>
                <w:vertAlign w:val="superscript"/>
              </w:rPr>
              <w:t>***</w:t>
            </w:r>
          </w:p>
          <w:p>
            <w:pPr>
              <w:jc w:val="center"/>
              <w:rPr>
                <w:kern w:val="2"/>
                <w:sz w:val="21"/>
                <w:szCs w:val="21"/>
              </w:rPr>
            </w:pPr>
            <w:r>
              <w:rPr>
                <w:kern w:val="2"/>
                <w:sz w:val="21"/>
                <w:szCs w:val="21"/>
              </w:rPr>
              <w:t>(0.0002)</w:t>
            </w:r>
          </w:p>
        </w:tc>
        <w:tc>
          <w:tcPr>
            <w:tcW w:w="1116" w:type="dxa"/>
            <w:gridSpan w:val="2"/>
            <w:tcBorders>
              <w:top w:val="nil"/>
              <w:left w:val="nil"/>
              <w:bottom w:val="single" w:color="auto" w:sz="4" w:space="0"/>
              <w:right w:val="nil"/>
            </w:tcBorders>
            <w:shd w:val="clear" w:color="auto" w:fill="FFFFFF"/>
            <w:vAlign w:val="center"/>
          </w:tcPr>
          <w:p>
            <w:pPr>
              <w:jc w:val="center"/>
              <w:rPr>
                <w:kern w:val="2"/>
                <w:sz w:val="21"/>
                <w:szCs w:val="21"/>
              </w:rPr>
            </w:pPr>
          </w:p>
        </w:tc>
        <w:tc>
          <w:tcPr>
            <w:tcW w:w="1116" w:type="dxa"/>
            <w:gridSpan w:val="2"/>
            <w:tcBorders>
              <w:top w:val="nil"/>
              <w:left w:val="nil"/>
              <w:bottom w:val="single" w:color="auto" w:sz="4" w:space="0"/>
              <w:right w:val="nil"/>
            </w:tcBorders>
            <w:shd w:val="clear" w:color="auto" w:fill="FFFFFF"/>
            <w:vAlign w:val="center"/>
          </w:tcPr>
          <w:p>
            <w:pPr>
              <w:jc w:val="center"/>
              <w:rPr>
                <w:kern w:val="2"/>
                <w:sz w:val="21"/>
                <w:szCs w:val="21"/>
                <w:vertAlign w:val="superscript"/>
              </w:rPr>
            </w:pPr>
            <w:r>
              <w:rPr>
                <w:kern w:val="2"/>
                <w:sz w:val="21"/>
                <w:szCs w:val="21"/>
              </w:rPr>
              <w:t>0.0017</w:t>
            </w:r>
            <w:r>
              <w:rPr>
                <w:kern w:val="2"/>
                <w:sz w:val="21"/>
                <w:szCs w:val="21"/>
                <w:vertAlign w:val="superscript"/>
              </w:rPr>
              <w:t>***</w:t>
            </w:r>
          </w:p>
          <w:p>
            <w:pPr>
              <w:jc w:val="center"/>
              <w:rPr>
                <w:kern w:val="2"/>
                <w:sz w:val="21"/>
                <w:szCs w:val="21"/>
              </w:rPr>
            </w:pPr>
            <w:r>
              <w:rPr>
                <w:kern w:val="2"/>
                <w:sz w:val="21"/>
                <w:szCs w:val="21"/>
              </w:rPr>
              <w:t>(0.0002)</w:t>
            </w:r>
          </w:p>
        </w:tc>
        <w:tc>
          <w:tcPr>
            <w:tcW w:w="1119" w:type="dxa"/>
            <w:gridSpan w:val="2"/>
            <w:tcBorders>
              <w:top w:val="nil"/>
              <w:left w:val="nil"/>
              <w:bottom w:val="single" w:color="auto" w:sz="4" w:space="0"/>
              <w:right w:val="nil"/>
            </w:tcBorders>
            <w:shd w:val="clear" w:color="auto" w:fill="FFFFFF"/>
            <w:vAlign w:val="center"/>
          </w:tcPr>
          <w:p>
            <w:pPr>
              <w:jc w:val="center"/>
              <w:rPr>
                <w:kern w:val="2"/>
                <w:sz w:val="21"/>
                <w:szCs w:val="21"/>
              </w:rPr>
            </w:pPr>
            <w:r>
              <w:commentReference w:id="6"/>
            </w:r>
          </w:p>
        </w:tc>
      </w:tr>
      <w:tr>
        <w:tblPrEx>
          <w:shd w:val="clear" w:color="auto" w:fill="FFFFFF"/>
          <w:tblCellMar>
            <w:top w:w="0" w:type="dxa"/>
            <w:left w:w="108" w:type="dxa"/>
            <w:bottom w:w="0" w:type="dxa"/>
            <w:right w:w="108" w:type="dxa"/>
          </w:tblCellMar>
        </w:tblPrEx>
        <w:trPr>
          <w:trHeight w:val="284" w:hRule="atLeast"/>
          <w:jc w:val="center"/>
        </w:trPr>
        <w:tc>
          <w:tcPr>
            <w:tcW w:w="8306" w:type="dxa"/>
            <w:gridSpan w:val="12"/>
            <w:tcBorders>
              <w:top w:val="single" w:color="auto" w:sz="4" w:space="0"/>
              <w:bottom w:val="single" w:color="auto" w:sz="12" w:space="0"/>
            </w:tcBorders>
            <w:shd w:val="clear" w:color="auto" w:fill="FFFFFF"/>
            <w:vAlign w:val="center"/>
          </w:tcPr>
          <w:p>
            <w:pPr>
              <w:jc w:val="right"/>
              <w:rPr>
                <w:rFonts w:ascii="宋体" w:hAnsi="宋体"/>
                <w:kern w:val="2"/>
                <w:sz w:val="21"/>
                <w:szCs w:val="21"/>
              </w:rPr>
            </w:pPr>
            <w:r>
              <w:rPr>
                <w:rFonts w:hint="eastAsia" w:ascii="宋体" w:hAnsi="宋体"/>
                <w:kern w:val="2"/>
                <w:sz w:val="21"/>
                <w:szCs w:val="21"/>
              </w:rPr>
              <w:t>续表</w:t>
            </w:r>
          </w:p>
        </w:tc>
      </w:tr>
      <w:tr>
        <w:tblPrEx>
          <w:tblCellMar>
            <w:top w:w="0" w:type="dxa"/>
            <w:left w:w="108" w:type="dxa"/>
            <w:bottom w:w="0" w:type="dxa"/>
            <w:right w:w="108" w:type="dxa"/>
          </w:tblCellMar>
        </w:tblPrEx>
        <w:trPr>
          <w:trHeight w:val="284" w:hRule="atLeast"/>
          <w:jc w:val="center"/>
        </w:trPr>
        <w:tc>
          <w:tcPr>
            <w:tcW w:w="1557" w:type="dxa"/>
            <w:tcBorders>
              <w:top w:val="single" w:color="auto" w:sz="12" w:space="0"/>
              <w:left w:val="nil"/>
              <w:bottom w:val="nil"/>
              <w:right w:val="nil"/>
            </w:tcBorders>
            <w:shd w:val="clear" w:color="auto" w:fill="FFFFFF"/>
            <w:vAlign w:val="center"/>
          </w:tcPr>
          <w:p>
            <w:pPr>
              <w:rPr>
                <w:b/>
                <w:bCs/>
                <w:kern w:val="2"/>
                <w:sz w:val="21"/>
                <w:szCs w:val="21"/>
              </w:rPr>
            </w:pPr>
            <w:r>
              <w:rPr>
                <w:kern w:val="2"/>
                <w:sz w:val="21"/>
                <w:szCs w:val="21"/>
              </w:rPr>
              <w:t>TO</w:t>
            </w:r>
          </w:p>
        </w:tc>
        <w:tc>
          <w:tcPr>
            <w:tcW w:w="1116" w:type="dxa"/>
            <w:tcBorders>
              <w:top w:val="single" w:color="auto" w:sz="12" w:space="0"/>
              <w:left w:val="nil"/>
              <w:bottom w:val="nil"/>
              <w:right w:val="nil"/>
            </w:tcBorders>
            <w:shd w:val="clear" w:color="auto" w:fill="FFFFFF"/>
            <w:vAlign w:val="center"/>
          </w:tcPr>
          <w:p>
            <w:pPr>
              <w:jc w:val="center"/>
              <w:rPr>
                <w:kern w:val="2"/>
                <w:sz w:val="21"/>
                <w:szCs w:val="21"/>
              </w:rPr>
            </w:pPr>
          </w:p>
        </w:tc>
        <w:tc>
          <w:tcPr>
            <w:tcW w:w="1156" w:type="dxa"/>
            <w:gridSpan w:val="2"/>
            <w:tcBorders>
              <w:top w:val="single" w:color="auto" w:sz="12" w:space="0"/>
              <w:left w:val="nil"/>
              <w:bottom w:val="nil"/>
              <w:right w:val="nil"/>
            </w:tcBorders>
            <w:shd w:val="clear" w:color="auto" w:fill="FFFFFF"/>
            <w:vAlign w:val="center"/>
          </w:tcPr>
          <w:p>
            <w:pPr>
              <w:jc w:val="center"/>
              <w:rPr>
                <w:kern w:val="2"/>
                <w:sz w:val="21"/>
                <w:szCs w:val="21"/>
                <w:vertAlign w:val="superscript"/>
              </w:rPr>
            </w:pPr>
            <w:r>
              <w:rPr>
                <w:kern w:val="2"/>
                <w:sz w:val="21"/>
                <w:szCs w:val="21"/>
              </w:rPr>
              <w:t>-0.0101</w:t>
            </w:r>
            <w:r>
              <w:rPr>
                <w:kern w:val="2"/>
                <w:sz w:val="21"/>
                <w:szCs w:val="21"/>
                <w:vertAlign w:val="superscript"/>
              </w:rPr>
              <w:t>***</w:t>
            </w:r>
          </w:p>
          <w:p>
            <w:pPr>
              <w:jc w:val="center"/>
              <w:rPr>
                <w:kern w:val="2"/>
                <w:sz w:val="21"/>
                <w:szCs w:val="21"/>
              </w:rPr>
            </w:pPr>
            <w:r>
              <w:rPr>
                <w:kern w:val="2"/>
                <w:sz w:val="21"/>
                <w:szCs w:val="21"/>
              </w:rPr>
              <w:t>(0.0019)</w:t>
            </w:r>
          </w:p>
        </w:tc>
        <w:tc>
          <w:tcPr>
            <w:tcW w:w="1126" w:type="dxa"/>
            <w:gridSpan w:val="2"/>
            <w:tcBorders>
              <w:top w:val="single" w:color="auto" w:sz="12" w:space="0"/>
              <w:left w:val="nil"/>
              <w:bottom w:val="nil"/>
              <w:right w:val="nil"/>
            </w:tcBorders>
            <w:shd w:val="clear" w:color="auto" w:fill="FFFFFF"/>
            <w:vAlign w:val="center"/>
          </w:tcPr>
          <w:p>
            <w:pPr>
              <w:jc w:val="center"/>
              <w:rPr>
                <w:kern w:val="2"/>
                <w:sz w:val="21"/>
                <w:szCs w:val="21"/>
              </w:rPr>
            </w:pPr>
          </w:p>
        </w:tc>
        <w:tc>
          <w:tcPr>
            <w:tcW w:w="1116" w:type="dxa"/>
            <w:gridSpan w:val="2"/>
            <w:tcBorders>
              <w:top w:val="single" w:color="auto" w:sz="12" w:space="0"/>
              <w:left w:val="nil"/>
              <w:bottom w:val="nil"/>
              <w:right w:val="nil"/>
            </w:tcBorders>
            <w:shd w:val="clear" w:color="auto" w:fill="FFFFFF"/>
            <w:vAlign w:val="center"/>
          </w:tcPr>
          <w:p>
            <w:pPr>
              <w:jc w:val="center"/>
              <w:rPr>
                <w:kern w:val="2"/>
                <w:sz w:val="21"/>
                <w:szCs w:val="21"/>
                <w:vertAlign w:val="superscript"/>
              </w:rPr>
            </w:pPr>
            <w:r>
              <w:rPr>
                <w:kern w:val="2"/>
                <w:sz w:val="21"/>
                <w:szCs w:val="21"/>
              </w:rPr>
              <w:t>-0.0054</w:t>
            </w:r>
            <w:r>
              <w:rPr>
                <w:kern w:val="2"/>
                <w:sz w:val="21"/>
                <w:szCs w:val="21"/>
                <w:vertAlign w:val="superscript"/>
              </w:rPr>
              <w:t>***</w:t>
            </w:r>
          </w:p>
          <w:p>
            <w:pPr>
              <w:jc w:val="center"/>
              <w:rPr>
                <w:kern w:val="2"/>
                <w:sz w:val="21"/>
                <w:szCs w:val="21"/>
              </w:rPr>
            </w:pPr>
            <w:r>
              <w:rPr>
                <w:kern w:val="2"/>
                <w:sz w:val="21"/>
                <w:szCs w:val="21"/>
              </w:rPr>
              <w:t>(0.0012)</w:t>
            </w:r>
          </w:p>
        </w:tc>
        <w:tc>
          <w:tcPr>
            <w:tcW w:w="1116" w:type="dxa"/>
            <w:gridSpan w:val="2"/>
            <w:tcBorders>
              <w:top w:val="single" w:color="auto" w:sz="12" w:space="0"/>
              <w:left w:val="nil"/>
              <w:bottom w:val="nil"/>
              <w:right w:val="nil"/>
            </w:tcBorders>
            <w:shd w:val="clear" w:color="auto" w:fill="FFFFFF"/>
            <w:vAlign w:val="center"/>
          </w:tcPr>
          <w:p>
            <w:pPr>
              <w:jc w:val="center"/>
              <w:rPr>
                <w:kern w:val="2"/>
                <w:sz w:val="21"/>
                <w:szCs w:val="21"/>
              </w:rPr>
            </w:pPr>
          </w:p>
        </w:tc>
        <w:tc>
          <w:tcPr>
            <w:tcW w:w="1119" w:type="dxa"/>
            <w:gridSpan w:val="2"/>
            <w:tcBorders>
              <w:top w:val="single" w:color="auto" w:sz="12" w:space="0"/>
              <w:left w:val="nil"/>
              <w:bottom w:val="nil"/>
              <w:right w:val="nil"/>
            </w:tcBorders>
            <w:shd w:val="clear" w:color="auto" w:fill="FFFFFF"/>
            <w:vAlign w:val="center"/>
          </w:tcPr>
          <w:p>
            <w:pPr>
              <w:jc w:val="center"/>
              <w:rPr>
                <w:kern w:val="2"/>
                <w:sz w:val="21"/>
                <w:szCs w:val="21"/>
                <w:vertAlign w:val="superscript"/>
              </w:rPr>
            </w:pPr>
            <w:r>
              <w:rPr>
                <w:kern w:val="2"/>
                <w:sz w:val="21"/>
                <w:szCs w:val="21"/>
              </w:rPr>
              <w:t>-0.0052</w:t>
            </w:r>
            <w:r>
              <w:rPr>
                <w:kern w:val="2"/>
                <w:sz w:val="21"/>
                <w:szCs w:val="21"/>
                <w:vertAlign w:val="superscript"/>
              </w:rPr>
              <w:t>**</w:t>
            </w:r>
            <w:r>
              <w:commentReference w:id="7"/>
            </w:r>
            <w:r>
              <w:rPr>
                <w:kern w:val="2"/>
                <w:sz w:val="21"/>
                <w:szCs w:val="21"/>
                <w:vertAlign w:val="superscript"/>
              </w:rPr>
              <w:t>*</w:t>
            </w:r>
          </w:p>
          <w:p>
            <w:pPr>
              <w:jc w:val="center"/>
              <w:rPr>
                <w:kern w:val="2"/>
                <w:sz w:val="21"/>
                <w:szCs w:val="21"/>
              </w:rPr>
            </w:pPr>
            <w:r>
              <w:rPr>
                <w:kern w:val="2"/>
                <w:sz w:val="21"/>
                <w:szCs w:val="21"/>
              </w:rPr>
              <w:t>(0.0012)</w:t>
            </w:r>
          </w:p>
        </w:tc>
      </w:tr>
      <w:tr>
        <w:tblPrEx>
          <w:tblCellMar>
            <w:top w:w="0" w:type="dxa"/>
            <w:left w:w="108" w:type="dxa"/>
            <w:bottom w:w="0" w:type="dxa"/>
            <w:right w:w="108" w:type="dxa"/>
          </w:tblCellMar>
        </w:tblPrEx>
        <w:trPr>
          <w:trHeight w:val="284" w:hRule="atLeast"/>
          <w:jc w:val="center"/>
        </w:trPr>
        <w:tc>
          <w:tcPr>
            <w:tcW w:w="1557" w:type="dxa"/>
            <w:tcBorders>
              <w:top w:val="nil"/>
              <w:left w:val="nil"/>
              <w:bottom w:val="single" w:color="auto" w:sz="12" w:space="0"/>
              <w:right w:val="nil"/>
            </w:tcBorders>
            <w:shd w:val="clear" w:color="auto" w:fill="FFFFFF"/>
            <w:vAlign w:val="center"/>
          </w:tcPr>
          <w:p>
            <w:pPr>
              <w:rPr>
                <w:b/>
                <w:bCs/>
                <w:kern w:val="2"/>
                <w:sz w:val="21"/>
                <w:szCs w:val="21"/>
              </w:rPr>
            </w:pPr>
            <w:r>
              <w:rPr>
                <w:kern w:val="2"/>
                <w:sz w:val="21"/>
                <w:szCs w:val="21"/>
              </w:rPr>
              <w:t>Adj R-squared</w:t>
            </w:r>
          </w:p>
        </w:tc>
        <w:tc>
          <w:tcPr>
            <w:tcW w:w="1116" w:type="dxa"/>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0.3050</w:t>
            </w:r>
          </w:p>
        </w:tc>
        <w:tc>
          <w:tcPr>
            <w:tcW w:w="1156"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0.1268</w:t>
            </w:r>
          </w:p>
        </w:tc>
        <w:tc>
          <w:tcPr>
            <w:tcW w:w="1126"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0.4173</w:t>
            </w:r>
          </w:p>
        </w:tc>
        <w:tc>
          <w:tcPr>
            <w:tcW w:w="1116"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0.1769</w:t>
            </w:r>
          </w:p>
        </w:tc>
        <w:tc>
          <w:tcPr>
            <w:tcW w:w="1116"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0.4268</w:t>
            </w:r>
          </w:p>
        </w:tc>
        <w:tc>
          <w:tcPr>
            <w:tcW w:w="1119" w:type="dxa"/>
            <w:gridSpan w:val="2"/>
            <w:tcBorders>
              <w:top w:val="nil"/>
              <w:left w:val="nil"/>
              <w:bottom w:val="single" w:color="auto" w:sz="12" w:space="0"/>
              <w:right w:val="nil"/>
            </w:tcBorders>
            <w:shd w:val="clear" w:color="auto" w:fill="FFFFFF"/>
            <w:vAlign w:val="center"/>
          </w:tcPr>
          <w:p>
            <w:pPr>
              <w:jc w:val="center"/>
              <w:rPr>
                <w:kern w:val="2"/>
                <w:sz w:val="21"/>
                <w:szCs w:val="21"/>
              </w:rPr>
            </w:pPr>
            <w:r>
              <w:rPr>
                <w:kern w:val="2"/>
                <w:sz w:val="21"/>
                <w:szCs w:val="21"/>
              </w:rPr>
              <w:t>0.1756</w:t>
            </w:r>
          </w:p>
        </w:tc>
      </w:tr>
    </w:tbl>
    <w:p>
      <w:pPr>
        <w:jc w:val="both"/>
        <w:rPr>
          <w:sz w:val="18"/>
          <w:szCs w:val="18"/>
        </w:rPr>
      </w:pPr>
      <w:r>
        <w:rPr>
          <w:sz w:val="18"/>
          <w:szCs w:val="18"/>
        </w:rPr>
        <w:t>注：</w:t>
      </w:r>
      <w:r>
        <w:rPr>
          <w:rFonts w:hint="eastAsia"/>
          <w:sz w:val="18"/>
          <w:szCs w:val="18"/>
        </w:rPr>
        <w:t>表</w:t>
      </w:r>
      <w:r>
        <w:rPr>
          <w:sz w:val="18"/>
          <w:szCs w:val="18"/>
        </w:rPr>
        <w:t>2</w:t>
      </w:r>
      <w:r>
        <w:rPr>
          <w:rFonts w:hint="eastAsia"/>
          <w:sz w:val="18"/>
          <w:szCs w:val="18"/>
        </w:rPr>
        <w:t>报告了隐含波动率偏差与基差/E</w:t>
      </w:r>
      <w:r>
        <w:rPr>
          <w:sz w:val="18"/>
          <w:szCs w:val="18"/>
        </w:rPr>
        <w:t>TF</w:t>
      </w:r>
      <w:r>
        <w:rPr>
          <w:rFonts w:hint="eastAsia"/>
          <w:sz w:val="18"/>
          <w:szCs w:val="18"/>
        </w:rPr>
        <w:t>换手率的回归结果，</w:t>
      </w:r>
      <w:r>
        <w:rPr>
          <w:sz w:val="18"/>
          <w:szCs w:val="18"/>
        </w:rPr>
        <w:t>其中子表1对应剩余期限最短的期权，子表3对应剩余期限最长的期权。在每一个子表中，按照行权价格从小到大</w:t>
      </w:r>
      <w:r>
        <w:rPr>
          <w:rFonts w:hint="eastAsia"/>
          <w:sz w:val="18"/>
          <w:szCs w:val="18"/>
        </w:rPr>
        <w:t>，将期权重新</w:t>
      </w:r>
      <w:r>
        <w:rPr>
          <w:sz w:val="18"/>
          <w:szCs w:val="18"/>
        </w:rPr>
        <w:t>分为三类，即</w:t>
      </w:r>
      <w:r>
        <w:rPr>
          <w:rFonts w:hint="eastAsia"/>
          <w:sz w:val="18"/>
          <w:szCs w:val="18"/>
        </w:rPr>
        <w:t>行权价格</w:t>
      </w:r>
      <w:r>
        <w:rPr>
          <w:sz w:val="18"/>
          <w:szCs w:val="18"/>
        </w:rPr>
        <w:t>1-3。</w:t>
      </w:r>
      <w:r>
        <w:rPr>
          <w:rFonts w:hint="eastAsia"/>
          <w:sz w:val="18"/>
          <w:szCs w:val="18"/>
        </w:rPr>
        <w:t>表2中所有的回归均是多元回归，其中模型</w:t>
      </w:r>
      <w:r>
        <w:rPr>
          <w:sz w:val="18"/>
          <w:szCs w:val="18"/>
        </w:rPr>
        <w:t>1</w:t>
      </w:r>
      <w:r>
        <w:rPr>
          <w:rFonts w:hint="eastAsia"/>
          <w:sz w:val="18"/>
          <w:szCs w:val="18"/>
        </w:rPr>
        <w:t>、3、5的核心变量为基差（F</w:t>
      </w:r>
      <w:r>
        <w:rPr>
          <w:sz w:val="18"/>
          <w:szCs w:val="18"/>
        </w:rPr>
        <w:t>B</w:t>
      </w:r>
      <w:r>
        <w:rPr>
          <w:rFonts w:hint="eastAsia"/>
          <w:sz w:val="18"/>
          <w:szCs w:val="18"/>
        </w:rPr>
        <w:t>），模型</w:t>
      </w:r>
      <w:r>
        <w:rPr>
          <w:sz w:val="18"/>
          <w:szCs w:val="18"/>
        </w:rPr>
        <w:t>2</w:t>
      </w:r>
      <w:r>
        <w:rPr>
          <w:rFonts w:hint="eastAsia"/>
          <w:sz w:val="18"/>
          <w:szCs w:val="18"/>
        </w:rPr>
        <w:t>、4、6的核心变量为E</w:t>
      </w:r>
      <w:r>
        <w:rPr>
          <w:sz w:val="18"/>
          <w:szCs w:val="18"/>
        </w:rPr>
        <w:t>TF</w:t>
      </w:r>
      <w:r>
        <w:rPr>
          <w:rFonts w:hint="eastAsia"/>
          <w:sz w:val="18"/>
          <w:szCs w:val="18"/>
        </w:rPr>
        <w:t>换手率（T</w:t>
      </w:r>
      <w:r>
        <w:rPr>
          <w:sz w:val="18"/>
          <w:szCs w:val="18"/>
        </w:rPr>
        <w:t>O</w:t>
      </w:r>
      <w:r>
        <w:rPr>
          <w:rFonts w:hint="eastAsia"/>
          <w:sz w:val="18"/>
          <w:szCs w:val="18"/>
        </w:rPr>
        <w:t>），其余变量的回归系数可见附录的表1和表2。括号里的数字代表标准误，</w:t>
      </w:r>
      <w:r>
        <w:rPr>
          <w:sz w:val="18"/>
          <w:szCs w:val="18"/>
        </w:rPr>
        <w:t>***、**和*分别代表系数在1%、5%和10%水平下显著</w:t>
      </w:r>
      <w:r>
        <w:rPr>
          <w:rFonts w:hint="eastAsia"/>
          <w:sz w:val="18"/>
          <w:szCs w:val="18"/>
        </w:rPr>
        <w:t>。</w:t>
      </w:r>
    </w:p>
    <w:p>
      <w:pPr>
        <w:jc w:val="both"/>
        <w:rPr>
          <w:sz w:val="18"/>
          <w:szCs w:val="18"/>
        </w:rPr>
      </w:pPr>
      <w:r>
        <w:rPr>
          <w:rFonts w:hint="eastAsia"/>
          <w:sz w:val="18"/>
          <w:szCs w:val="18"/>
        </w:rPr>
        <w:t>数据来源：Wind</w:t>
      </w:r>
    </w:p>
    <w:p>
      <w:pPr>
        <w:pStyle w:val="28"/>
        <w:ind w:firstLine="480"/>
        <w:rPr>
          <w:rFonts w:hint="eastAsia"/>
        </w:rPr>
      </w:pPr>
      <w:r>
        <w:rPr>
          <w:rFonts w:hint="eastAsia"/>
        </w:rPr>
        <w:t>综上所述，我们对期权隐含波动率偏差的预测能力进行了初步研究，我们发现该指标能够预测现货和期货的未来超额收益率，但该部分仍有待后续进一步的研究。</w:t>
      </w:r>
    </w:p>
    <w:p>
      <w:pPr>
        <w:pStyle w:val="28"/>
        <w:ind w:firstLine="480"/>
        <w:rPr>
          <w:rFonts w:hint="eastAsia"/>
        </w:rPr>
      </w:pPr>
    </w:p>
    <w:p>
      <w:pPr>
        <w:pStyle w:val="24"/>
        <w:bidi w:val="0"/>
      </w:pPr>
      <w:bookmarkStart w:id="38" w:name="_Toc39500893"/>
      <w:bookmarkStart w:id="39" w:name="_Toc39500776"/>
      <w:bookmarkStart w:id="40" w:name="_Toc40032041"/>
      <w:bookmarkStart w:id="41" w:name="_Toc39502285"/>
      <w:r>
        <w:rPr>
          <w:rFonts w:hint="eastAsia"/>
        </w:rPr>
        <w:t>结论</w:t>
      </w:r>
      <w:bookmarkEnd w:id="38"/>
      <w:bookmarkEnd w:id="39"/>
      <w:bookmarkEnd w:id="40"/>
      <w:bookmarkEnd w:id="41"/>
    </w:p>
    <w:p>
      <w:pPr>
        <w:pStyle w:val="28"/>
        <w:ind w:firstLine="480"/>
        <w:rPr>
          <w:rFonts w:hint="eastAsia"/>
        </w:rPr>
      </w:pPr>
    </w:p>
    <w:p>
      <w:pPr>
        <w:pStyle w:val="28"/>
        <w:ind w:firstLine="480"/>
      </w:pPr>
      <w:r>
        <w:rPr>
          <w:rFonts w:hint="eastAsia"/>
        </w:rPr>
        <w:t>上述实证研究结果表明，投资者情绪是影响隐含波动率偏差的最主要因素。当市场情绪较为悲观时，投资者会大量购买看跌期权，从而推高期权总体交易量和隐含波动率偏差；当市场情绪较为乐观时，期权交易量也随之增加，此时隐含波动率会暂时回落。由此我们也可以看出，期权绝对流动性与隐含波动率偏差的关系依赖于投资者情绪，且系数的正负与市场涨跌密切相关。</w:t>
      </w:r>
    </w:p>
    <w:p>
      <w:pPr>
        <w:pStyle w:val="28"/>
        <w:ind w:firstLine="480"/>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bookmarkStart w:id="44" w:name="_GoBack"/>
      <w:bookmarkEnd w:id="44"/>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ind w:firstLine="472" w:firstLineChars="196"/>
        <w:jc w:val="both"/>
        <w:rPr>
          <w:b/>
          <w:bCs/>
          <w:color w:val="ED7D31"/>
        </w:rPr>
      </w:pPr>
    </w:p>
    <w:p>
      <w:pPr>
        <w:spacing w:line="360" w:lineRule="auto"/>
        <w:jc w:val="both"/>
        <w:rPr>
          <w:b/>
          <w:bCs/>
          <w:color w:val="ED7D31"/>
        </w:rPr>
      </w:pPr>
    </w:p>
    <w:p>
      <w:pPr>
        <w:autoSpaceDE w:val="0"/>
        <w:autoSpaceDN w:val="0"/>
        <w:adjustRightInd w:val="0"/>
        <w:ind w:left="361" w:hanging="361" w:hangingChars="150"/>
        <w:rPr>
          <w:b/>
          <w:color w:val="000000"/>
          <w:szCs w:val="21"/>
        </w:rPr>
      </w:pPr>
    </w:p>
    <w:p>
      <w:pPr>
        <w:pStyle w:val="24"/>
        <w:numPr>
          <w:ilvl w:val="0"/>
          <w:numId w:val="0"/>
        </w:numPr>
        <w:spacing w:line="400" w:lineRule="exact"/>
        <w:jc w:val="left"/>
        <w:rPr>
          <w:sz w:val="24"/>
          <w:szCs w:val="28"/>
        </w:rPr>
      </w:pPr>
      <w:bookmarkStart w:id="42" w:name="_Toc40032042"/>
      <w:r>
        <w:rPr>
          <w:sz w:val="24"/>
          <w:szCs w:val="28"/>
        </w:rPr>
        <w:t>参考文献</w:t>
      </w:r>
      <w:bookmarkEnd w:id="42"/>
    </w:p>
    <w:p>
      <w:pPr>
        <w:pStyle w:val="9"/>
        <w:ind w:left="315" w:hanging="315" w:hangingChars="150"/>
        <w:jc w:val="both"/>
        <w:rPr>
          <w:sz w:val="21"/>
          <w:szCs w:val="21"/>
        </w:rPr>
      </w:pPr>
      <w:r>
        <w:rPr>
          <w:sz w:val="21"/>
          <w:szCs w:val="21"/>
        </w:rPr>
        <w:fldChar w:fldCharType="begin"/>
      </w:r>
      <w:r>
        <w:rPr>
          <w:sz w:val="21"/>
          <w:szCs w:val="21"/>
        </w:rPr>
        <w:instrText xml:space="preserve"> ADDIN EN.REFLIST </w:instrText>
      </w:r>
      <w:r>
        <w:rPr>
          <w:sz w:val="21"/>
          <w:szCs w:val="21"/>
        </w:rPr>
        <w:fldChar w:fldCharType="separate"/>
      </w:r>
      <w:r>
        <w:rPr>
          <w:sz w:val="21"/>
          <w:szCs w:val="21"/>
        </w:rPr>
        <w:t>[1] 陈蓉和林秀雀，2014，《波动率偏斜与风险中性偏度能预测尾部风险吗》</w:t>
      </w:r>
      <w:r>
        <w:rPr>
          <w:rFonts w:hint="eastAsia"/>
          <w:sz w:val="21"/>
          <w:szCs w:val="21"/>
        </w:rPr>
        <w:t>，</w:t>
      </w:r>
      <w:r>
        <w:rPr>
          <w:sz w:val="21"/>
          <w:szCs w:val="21"/>
        </w:rPr>
        <w:t>《管理科学学报》第8期，第113-126页。</w:t>
      </w:r>
    </w:p>
    <w:p>
      <w:pPr>
        <w:pStyle w:val="9"/>
        <w:ind w:left="315" w:hanging="315" w:hangingChars="150"/>
        <w:jc w:val="both"/>
        <w:rPr>
          <w:sz w:val="21"/>
          <w:szCs w:val="21"/>
        </w:rPr>
      </w:pPr>
      <w:r>
        <w:rPr>
          <w:sz w:val="21"/>
          <w:szCs w:val="21"/>
        </w:rPr>
        <w:t>[2]</w:t>
      </w:r>
      <w:bookmarkStart w:id="43" w:name="_Hlk39860145"/>
      <w:r>
        <w:rPr>
          <w:sz w:val="21"/>
          <w:szCs w:val="21"/>
        </w:rPr>
        <w:t xml:space="preserve"> 胡昌生、程志富、陈晶和陈聪，</w:t>
      </w:r>
      <w:r>
        <w:rPr>
          <w:rFonts w:hint="eastAsia"/>
          <w:sz w:val="21"/>
          <w:szCs w:val="21"/>
        </w:rPr>
        <w:t>2</w:t>
      </w:r>
      <w:r>
        <w:rPr>
          <w:sz w:val="21"/>
          <w:szCs w:val="21"/>
        </w:rPr>
        <w:t>019</w:t>
      </w:r>
      <w:r>
        <w:rPr>
          <w:rFonts w:hint="eastAsia"/>
          <w:sz w:val="21"/>
          <w:szCs w:val="21"/>
        </w:rPr>
        <w:t>，</w:t>
      </w:r>
      <w:r>
        <w:rPr>
          <w:sz w:val="21"/>
          <w:szCs w:val="21"/>
        </w:rPr>
        <w:t>《ETF 期权隐含偏度, 投资者情绪的理性与非理性》，《系统管理学报》第8期，第1073-1084页。</w:t>
      </w:r>
    </w:p>
    <w:bookmarkEnd w:id="43"/>
    <w:p>
      <w:pPr>
        <w:pStyle w:val="31"/>
        <w:spacing w:line="400" w:lineRule="exact"/>
        <w:ind w:left="315" w:hanging="315" w:hangingChars="150"/>
        <w:jc w:val="both"/>
        <w:rPr>
          <w:sz w:val="21"/>
          <w:szCs w:val="21"/>
        </w:rPr>
      </w:pPr>
      <w:r>
        <w:rPr>
          <w:sz w:val="21"/>
          <w:szCs w:val="21"/>
        </w:rPr>
        <w:t xml:space="preserve">[3] </w:t>
      </w:r>
      <w:r>
        <w:rPr>
          <w:rFonts w:hint="eastAsia"/>
          <w:sz w:val="21"/>
          <w:szCs w:val="21"/>
        </w:rPr>
        <w:t>简军波，2016，《非洲与“海上丝绸之路”：挑战与前景》，复旦国际问题研究院系列工作论文，2016年第1期。</w:t>
      </w:r>
    </w:p>
    <w:p>
      <w:pPr>
        <w:pStyle w:val="31"/>
        <w:spacing w:line="400" w:lineRule="exact"/>
        <w:ind w:left="315" w:hanging="315" w:hangingChars="150"/>
        <w:jc w:val="both"/>
        <w:rPr>
          <w:sz w:val="21"/>
          <w:szCs w:val="21"/>
        </w:rPr>
      </w:pPr>
      <w:r>
        <w:rPr>
          <w:sz w:val="21"/>
          <w:szCs w:val="21"/>
        </w:rPr>
        <w:t xml:space="preserve">[4] </w:t>
      </w:r>
      <w:r>
        <w:rPr>
          <w:rFonts w:hint="eastAsia"/>
          <w:sz w:val="21"/>
          <w:szCs w:val="21"/>
        </w:rPr>
        <w:t>潘黎，2</w:t>
      </w:r>
      <w:r>
        <w:rPr>
          <w:sz w:val="21"/>
          <w:szCs w:val="21"/>
        </w:rPr>
        <w:t>015</w:t>
      </w:r>
      <w:r>
        <w:rPr>
          <w:rFonts w:hint="eastAsia"/>
          <w:sz w:val="21"/>
          <w:szCs w:val="21"/>
        </w:rPr>
        <w:t>，《文化特征、金融行为与金融发展》，华中科技大学博士学位论文</w:t>
      </w:r>
      <w:r>
        <w:rPr>
          <w:sz w:val="21"/>
          <w:szCs w:val="21"/>
        </w:rPr>
        <w:t>。</w:t>
      </w:r>
    </w:p>
    <w:p>
      <w:pPr>
        <w:pStyle w:val="31"/>
        <w:spacing w:line="400" w:lineRule="exact"/>
        <w:ind w:left="315" w:hanging="315" w:hangingChars="150"/>
        <w:jc w:val="both"/>
        <w:rPr>
          <w:sz w:val="21"/>
          <w:szCs w:val="21"/>
        </w:rPr>
      </w:pPr>
      <w:r>
        <w:rPr>
          <w:sz w:val="21"/>
          <w:szCs w:val="21"/>
        </w:rPr>
        <w:t xml:space="preserve">[5] </w:t>
      </w:r>
      <w:r>
        <w:rPr>
          <w:rFonts w:hint="eastAsia"/>
          <w:sz w:val="21"/>
          <w:szCs w:val="21"/>
        </w:rPr>
        <w:t>桑彤和王原，2</w:t>
      </w:r>
      <w:r>
        <w:rPr>
          <w:sz w:val="21"/>
          <w:szCs w:val="21"/>
        </w:rPr>
        <w:t>013</w:t>
      </w:r>
      <w:r>
        <w:rPr>
          <w:rFonts w:hint="eastAsia"/>
          <w:sz w:val="21"/>
          <w:szCs w:val="21"/>
        </w:rPr>
        <w:t>，《理财产品遭遇信任危机 金融机构如何重树形象》，《中国信息报》2</w:t>
      </w:r>
      <w:r>
        <w:rPr>
          <w:sz w:val="21"/>
          <w:szCs w:val="21"/>
        </w:rPr>
        <w:t>013</w:t>
      </w:r>
      <w:r>
        <w:rPr>
          <w:rFonts w:hint="eastAsia"/>
          <w:sz w:val="21"/>
          <w:szCs w:val="21"/>
        </w:rPr>
        <w:t>年2月4日，第3版</w:t>
      </w:r>
      <w:r>
        <w:rPr>
          <w:sz w:val="21"/>
          <w:szCs w:val="21"/>
        </w:rPr>
        <w:t>。</w:t>
      </w:r>
    </w:p>
    <w:p>
      <w:pPr>
        <w:pStyle w:val="31"/>
        <w:spacing w:line="400" w:lineRule="exact"/>
        <w:ind w:left="315" w:hanging="315" w:hangingChars="150"/>
        <w:jc w:val="both"/>
        <w:rPr>
          <w:sz w:val="21"/>
          <w:szCs w:val="21"/>
        </w:rPr>
      </w:pPr>
      <w:r>
        <w:rPr>
          <w:sz w:val="21"/>
          <w:szCs w:val="21"/>
        </w:rPr>
        <w:t>[6] 熊彼特， 1990，《经济发展理论》，何畏、易家译，商务印书馆。</w:t>
      </w:r>
    </w:p>
    <w:p>
      <w:pPr>
        <w:pStyle w:val="9"/>
        <w:ind w:left="315" w:hanging="315" w:hangingChars="150"/>
        <w:jc w:val="both"/>
        <w:rPr>
          <w:sz w:val="21"/>
          <w:szCs w:val="21"/>
        </w:rPr>
      </w:pPr>
      <w:r>
        <w:rPr>
          <w:sz w:val="21"/>
          <w:szCs w:val="21"/>
        </w:rPr>
        <w:t>[7] 郑振龙和陈蓉，2020，《金融工程》（第五版），高等教育出版社。</w:t>
      </w:r>
    </w:p>
    <w:p>
      <w:pPr>
        <w:pStyle w:val="31"/>
        <w:spacing w:line="400" w:lineRule="exact"/>
        <w:ind w:left="315" w:hanging="315" w:hangingChars="150"/>
        <w:jc w:val="both"/>
        <w:rPr>
          <w:sz w:val="21"/>
          <w:szCs w:val="21"/>
        </w:rPr>
      </w:pPr>
      <w:r>
        <w:rPr>
          <w:sz w:val="21"/>
          <w:szCs w:val="21"/>
        </w:rPr>
        <w:t>[8] 佐藤宏，2004，《外出务工、谋职和城市劳动力市场——市场支撑机制的社会网络分析》，载李实、佐藤宏主编，《经济转型的代价──中国城市失业、贫困、收入差距的经验分析》，中国财政经济出版社，第372-390页。</w:t>
      </w:r>
    </w:p>
    <w:p>
      <w:pPr>
        <w:pStyle w:val="31"/>
        <w:spacing w:line="400" w:lineRule="exact"/>
        <w:ind w:left="315" w:hanging="315" w:hangingChars="150"/>
        <w:jc w:val="both"/>
        <w:rPr>
          <w:sz w:val="21"/>
          <w:szCs w:val="21"/>
        </w:rPr>
      </w:pPr>
      <w:r>
        <w:rPr>
          <w:sz w:val="21"/>
          <w:szCs w:val="21"/>
        </w:rPr>
        <w:t xml:space="preserve">[9] Atilgan, Y., G. Bali, and O. Demirtas, 2015, "Implied volatility spreads and expected market returns", </w:t>
      </w:r>
      <w:r>
        <w:rPr>
          <w:i/>
          <w:iCs/>
          <w:sz w:val="21"/>
          <w:szCs w:val="21"/>
        </w:rPr>
        <w:t>Journal of Business and Economic Statistics</w:t>
      </w:r>
      <w:r>
        <w:rPr>
          <w:sz w:val="21"/>
          <w:szCs w:val="21"/>
        </w:rPr>
        <w:t>, 33(1): 87-101.</w:t>
      </w:r>
      <w:r>
        <w:rPr>
          <w:rFonts w:hint="eastAsia"/>
          <w:color w:val="ED7D31"/>
          <w:sz w:val="21"/>
          <w:szCs w:val="21"/>
        </w:rPr>
        <w:t xml:space="preserve"> </w:t>
      </w:r>
    </w:p>
    <w:p>
      <w:pPr>
        <w:pStyle w:val="31"/>
        <w:spacing w:line="400" w:lineRule="exact"/>
        <w:ind w:left="315" w:hanging="315" w:hangingChars="150"/>
        <w:jc w:val="both"/>
        <w:rPr>
          <w:sz w:val="21"/>
          <w:szCs w:val="21"/>
        </w:rPr>
      </w:pPr>
      <w:r>
        <w:rPr>
          <w:sz w:val="21"/>
          <w:szCs w:val="21"/>
        </w:rPr>
        <w:t xml:space="preserve">[10] Baker, M., </w:t>
      </w:r>
      <w:r>
        <w:rPr>
          <w:rFonts w:hint="eastAsia"/>
          <w:sz w:val="21"/>
          <w:szCs w:val="21"/>
        </w:rPr>
        <w:t>a</w:t>
      </w:r>
      <w:r>
        <w:rPr>
          <w:sz w:val="21"/>
          <w:szCs w:val="21"/>
        </w:rPr>
        <w:t xml:space="preserve">nd J. Wurgler, 2006, "Investor </w:t>
      </w:r>
      <w:r>
        <w:rPr>
          <w:rFonts w:hint="eastAsia"/>
          <w:sz w:val="21"/>
          <w:szCs w:val="21"/>
        </w:rPr>
        <w:t>s</w:t>
      </w:r>
      <w:r>
        <w:rPr>
          <w:sz w:val="21"/>
          <w:szCs w:val="21"/>
        </w:rPr>
        <w:t xml:space="preserve">entiment and the </w:t>
      </w:r>
      <w:r>
        <w:rPr>
          <w:rFonts w:hint="eastAsia"/>
          <w:sz w:val="21"/>
          <w:szCs w:val="21"/>
        </w:rPr>
        <w:t>c</w:t>
      </w:r>
      <w:r>
        <w:rPr>
          <w:sz w:val="21"/>
          <w:szCs w:val="21"/>
        </w:rPr>
        <w:t xml:space="preserve">ross‐section of stock returns", </w:t>
      </w:r>
      <w:r>
        <w:rPr>
          <w:i/>
          <w:iCs/>
          <w:sz w:val="21"/>
          <w:szCs w:val="21"/>
        </w:rPr>
        <w:t>The Journal of Finance</w:t>
      </w:r>
      <w:r>
        <w:rPr>
          <w:sz w:val="21"/>
          <w:szCs w:val="21"/>
        </w:rPr>
        <w:t>, 61(4): 1645-1680.</w:t>
      </w:r>
      <w:r>
        <w:rPr>
          <w:rFonts w:hint="eastAsia"/>
          <w:color w:val="ED7D31"/>
          <w:sz w:val="21"/>
          <w:szCs w:val="21"/>
        </w:rPr>
        <w:t xml:space="preserve"> </w:t>
      </w:r>
    </w:p>
    <w:p>
      <w:pPr>
        <w:pStyle w:val="31"/>
        <w:spacing w:line="400" w:lineRule="exact"/>
        <w:ind w:left="315" w:hanging="315" w:hangingChars="150"/>
        <w:jc w:val="both"/>
        <w:rPr>
          <w:sz w:val="21"/>
          <w:szCs w:val="21"/>
        </w:rPr>
      </w:pPr>
      <w:r>
        <w:rPr>
          <w:sz w:val="21"/>
          <w:szCs w:val="21"/>
        </w:rPr>
        <w:t xml:space="preserve">[11] Hannum, E., J. Begrman, M. Wang, and J. Liu, 2008, "Education in the reform era" in L. Brandt and T. Rawski (ed.), </w:t>
      </w:r>
      <w:r>
        <w:rPr>
          <w:i/>
          <w:iCs/>
          <w:sz w:val="21"/>
          <w:szCs w:val="21"/>
        </w:rPr>
        <w:t>China's Great Economic Transformation</w:t>
      </w:r>
      <w:r>
        <w:rPr>
          <w:sz w:val="21"/>
          <w:szCs w:val="21"/>
        </w:rPr>
        <w:t>, Cambridge: Cambridige University Press.</w:t>
      </w:r>
    </w:p>
    <w:p>
      <w:pPr>
        <w:pStyle w:val="31"/>
        <w:spacing w:line="400" w:lineRule="exact"/>
        <w:ind w:left="315" w:hanging="315" w:hangingChars="150"/>
        <w:jc w:val="both"/>
        <w:rPr>
          <w:sz w:val="21"/>
          <w:szCs w:val="21"/>
        </w:rPr>
      </w:pPr>
      <w:r>
        <w:rPr>
          <w:sz w:val="21"/>
          <w:szCs w:val="21"/>
        </w:rPr>
        <w:t xml:space="preserve">[12] Hull, J., 2021, </w:t>
      </w:r>
      <w:r>
        <w:rPr>
          <w:i/>
          <w:iCs/>
          <w:sz w:val="21"/>
          <w:szCs w:val="21"/>
        </w:rPr>
        <w:t>Options, Futures and Other Derivatives</w:t>
      </w:r>
      <w:r>
        <w:rPr>
          <w:sz w:val="21"/>
          <w:szCs w:val="21"/>
        </w:rPr>
        <w:t>, 11</w:t>
      </w:r>
      <w:r>
        <w:rPr>
          <w:sz w:val="21"/>
          <w:szCs w:val="21"/>
          <w:vertAlign w:val="superscript"/>
        </w:rPr>
        <w:t>th</w:t>
      </w:r>
      <w:r>
        <w:rPr>
          <w:sz w:val="21"/>
          <w:szCs w:val="21"/>
        </w:rPr>
        <w:t xml:space="preserve"> ed., </w:t>
      </w:r>
      <w:r>
        <w:rPr>
          <w:rFonts w:hint="eastAsia"/>
          <w:sz w:val="21"/>
          <w:szCs w:val="21"/>
        </w:rPr>
        <w:t>Hoboken</w:t>
      </w:r>
      <w:r>
        <w:rPr>
          <w:sz w:val="21"/>
          <w:szCs w:val="21"/>
        </w:rPr>
        <w:t>: Pearson Education Inc..</w:t>
      </w:r>
    </w:p>
    <w:p>
      <w:pPr>
        <w:pStyle w:val="31"/>
        <w:spacing w:line="400" w:lineRule="exact"/>
        <w:ind w:left="315" w:hanging="315" w:hangingChars="150"/>
        <w:jc w:val="both"/>
        <w:rPr>
          <w:sz w:val="21"/>
          <w:szCs w:val="21"/>
        </w:rPr>
      </w:pPr>
      <w:r>
        <w:rPr>
          <w:sz w:val="21"/>
          <w:szCs w:val="21"/>
        </w:rPr>
        <w:t xml:space="preserve">[13] Khorram, M., H. Mo, and C. Sanger, 2019, "Information embedded in option prices: Evidence from credit rating agency announcements", </w:t>
      </w:r>
      <w:r>
        <w:rPr>
          <w:i/>
          <w:iCs/>
          <w:sz w:val="21"/>
          <w:szCs w:val="21"/>
        </w:rPr>
        <w:t>SSRN Working Parper</w:t>
      </w:r>
      <w:r>
        <w:rPr>
          <w:sz w:val="21"/>
          <w:szCs w:val="21"/>
        </w:rPr>
        <w:t>, No. 26325.</w:t>
      </w:r>
      <w:r>
        <w:rPr>
          <w:rFonts w:hint="eastAsia"/>
          <w:color w:val="ED7D31"/>
          <w:sz w:val="21"/>
          <w:szCs w:val="21"/>
        </w:rPr>
        <w:t xml:space="preserve"> </w:t>
      </w:r>
    </w:p>
    <w:p>
      <w:pPr>
        <w:pStyle w:val="31"/>
        <w:spacing w:line="400" w:lineRule="exact"/>
        <w:ind w:left="315" w:hanging="315" w:hangingChars="150"/>
        <w:jc w:val="both"/>
        <w:rPr>
          <w:sz w:val="21"/>
          <w:szCs w:val="21"/>
        </w:rPr>
      </w:pPr>
      <w:r>
        <w:rPr>
          <w:sz w:val="21"/>
          <w:szCs w:val="21"/>
        </w:rPr>
        <w:t>[14]</w:t>
      </w:r>
      <w:r>
        <w:t xml:space="preserve"> </w:t>
      </w:r>
      <w:r>
        <w:rPr>
          <w:sz w:val="21"/>
          <w:szCs w:val="21"/>
        </w:rPr>
        <w:t>Kleinaltenkamp, J., 2017. "Understanding the impact of job automation on Chinese employment - A quantitative investigation", Peking University Master's Thesis.</w:t>
      </w:r>
    </w:p>
    <w:p>
      <w:pPr>
        <w:pStyle w:val="31"/>
        <w:spacing w:line="400" w:lineRule="exact"/>
        <w:ind w:left="315" w:hanging="315" w:hangingChars="150"/>
        <w:jc w:val="both"/>
        <w:rPr>
          <w:sz w:val="21"/>
          <w:szCs w:val="21"/>
        </w:rPr>
      </w:pPr>
      <w:r>
        <w:rPr>
          <w:sz w:val="21"/>
          <w:szCs w:val="21"/>
        </w:rPr>
        <w:t>[15]</w:t>
      </w:r>
      <w:r>
        <w:t xml:space="preserve"> </w:t>
      </w:r>
      <w:r>
        <w:rPr>
          <w:sz w:val="21"/>
          <w:szCs w:val="21"/>
        </w:rPr>
        <w:t xml:space="preserve">Repullo, R., and J. Suarez, 2008, "The procyclical effects of basel II", </w:t>
      </w:r>
      <w:r>
        <w:rPr>
          <w:i/>
          <w:iCs/>
          <w:sz w:val="21"/>
          <w:szCs w:val="21"/>
        </w:rPr>
        <w:t>The 9th Jacques Polak Annual Research Conference</w:t>
      </w:r>
      <w:r>
        <w:rPr>
          <w:sz w:val="21"/>
          <w:szCs w:val="21"/>
        </w:rPr>
        <w:t>, Washington, USA.</w:t>
      </w:r>
    </w:p>
    <w:p>
      <w:pPr>
        <w:jc w:val="center"/>
        <w:rPr>
          <w:rFonts w:eastAsia="黑体"/>
          <w:b/>
          <w:bCs/>
          <w:sz w:val="32"/>
          <w:szCs w:val="32"/>
        </w:rPr>
      </w:pPr>
      <w:r>
        <w:rPr>
          <w:sz w:val="21"/>
          <w:szCs w:val="21"/>
        </w:rPr>
        <w:fldChar w:fldCharType="end"/>
      </w:r>
    </w:p>
    <w:p>
      <w:pPr>
        <w:spacing w:line="360" w:lineRule="auto"/>
        <w:jc w:val="both"/>
        <w:rPr>
          <w:b/>
          <w:bCs/>
        </w:rPr>
      </w:pPr>
    </w:p>
    <w:p/>
    <w:sectPr>
      <w:headerReference r:id="rId9" w:type="first"/>
      <w:footerReference r:id="rId10" w:type="first"/>
      <w:footnotePr>
        <w:numFmt w:val="decimalEnclosedCircleChinese"/>
        <w:numRestart w:val="eachPage"/>
      </w:footnotePr>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 w:date="2023-06-08T15:46:22Z" w:initials="">
    <w:p w14:paraId="50FF714A">
      <w:pPr>
        <w:pStyle w:val="2"/>
        <w:rPr>
          <w:rFonts w:hint="default" w:eastAsia="宋体"/>
          <w:lang w:val="en-US" w:eastAsia="zh-CN"/>
        </w:rPr>
      </w:pPr>
      <w:r>
        <w:rPr>
          <w:rFonts w:hint="eastAsia"/>
          <w:lang w:val="en-US" w:eastAsia="zh-CN"/>
        </w:rPr>
        <w:t>删除学号</w:t>
      </w:r>
    </w:p>
  </w:comment>
  <w:comment w:id="1" w:author="C" w:date="2023-06-08T15:46:32Z" w:initials="">
    <w:p w14:paraId="4F1E49F0">
      <w:pPr>
        <w:pStyle w:val="2"/>
        <w:rPr>
          <w:rFonts w:hint="default" w:eastAsia="宋体"/>
          <w:lang w:val="en-US" w:eastAsia="zh-CN"/>
        </w:rPr>
      </w:pPr>
      <w:r>
        <w:rPr>
          <w:rFonts w:hint="eastAsia"/>
          <w:lang w:val="en-US" w:eastAsia="zh-CN"/>
        </w:rPr>
        <w:t>新增空行</w:t>
      </w:r>
    </w:p>
  </w:comment>
  <w:comment w:id="2" w:author="C" w:date="2023-06-08T15:47:53Z" w:initials="">
    <w:p w14:paraId="02A50706">
      <w:pPr>
        <w:pStyle w:val="2"/>
        <w:rPr>
          <w:rFonts w:hint="default" w:eastAsia="宋体"/>
          <w:lang w:val="en-US" w:eastAsia="zh-CN"/>
        </w:rPr>
      </w:pPr>
      <w:r>
        <w:rPr>
          <w:rFonts w:hint="eastAsia"/>
          <w:lang w:val="en-US" w:eastAsia="zh-CN"/>
        </w:rPr>
        <w:t>修改行距为固定值20</w:t>
      </w:r>
    </w:p>
  </w:comment>
  <w:comment w:id="3" w:author="C" w:date="2023-06-08T15:54:14Z" w:initials="">
    <w:p w14:paraId="230178B2">
      <w:pPr>
        <w:pStyle w:val="2"/>
        <w:rPr>
          <w:rFonts w:hint="default" w:eastAsia="宋体"/>
          <w:lang w:val="en-US" w:eastAsia="zh-CN"/>
        </w:rPr>
      </w:pPr>
      <w:r>
        <w:rPr>
          <w:rFonts w:hint="eastAsia"/>
          <w:lang w:val="en-US" w:eastAsia="zh-CN"/>
        </w:rPr>
        <w:t>修改为实词大写</w:t>
      </w:r>
    </w:p>
  </w:comment>
  <w:comment w:id="4" w:author="C" w:date="2023-06-08T15:55:50Z" w:initials="">
    <w:p w14:paraId="4861691D">
      <w:pPr>
        <w:pStyle w:val="2"/>
        <w:rPr>
          <w:rFonts w:hint="default" w:eastAsia="宋体"/>
          <w:lang w:val="en-US" w:eastAsia="zh-CN"/>
        </w:rPr>
      </w:pPr>
      <w:r>
        <w:rPr>
          <w:rFonts w:hint="eastAsia"/>
          <w:lang w:val="en-US" w:eastAsia="zh-CN"/>
        </w:rPr>
        <w:t>以下所有括号和标点符号修改为正文全角</w:t>
      </w:r>
    </w:p>
  </w:comment>
  <w:comment w:id="5" w:author="C" w:date="2023-06-14T14:00:46Z" w:initials="">
    <w:p w14:paraId="3C4D53C1">
      <w:pPr>
        <w:pStyle w:val="2"/>
        <w:rPr>
          <w:rFonts w:hint="default" w:eastAsia="宋体"/>
          <w:lang w:val="en-US" w:eastAsia="zh-CN"/>
        </w:rPr>
      </w:pPr>
      <w:r>
        <w:rPr>
          <w:rFonts w:hint="eastAsia"/>
          <w:lang w:val="en-US" w:eastAsia="zh-CN"/>
        </w:rPr>
        <w:t>将上下框线修改为1.5磅</w:t>
      </w:r>
    </w:p>
  </w:comment>
  <w:comment w:id="6" w:author="C" w:date="2023-06-14T13:40:00Z" w:initials="">
    <w:p w14:paraId="24331013">
      <w:pPr>
        <w:pStyle w:val="2"/>
        <w:rPr>
          <w:rFonts w:hint="default" w:eastAsia="宋体"/>
          <w:lang w:val="en-US" w:eastAsia="zh-CN"/>
        </w:rPr>
      </w:pPr>
      <w:r>
        <w:rPr>
          <w:rFonts w:hint="eastAsia"/>
          <w:lang w:val="en-US" w:eastAsia="zh-CN"/>
        </w:rPr>
        <w:t>将下框线修改为0.75磅</w:t>
      </w:r>
    </w:p>
  </w:comment>
  <w:comment w:id="7" w:author="C" w:date="2023-06-14T14:00:03Z" w:initials="">
    <w:p w14:paraId="7D19526E">
      <w:pPr>
        <w:pStyle w:val="2"/>
        <w:rPr>
          <w:rFonts w:hint="default" w:eastAsia="宋体"/>
          <w:lang w:val="en-US" w:eastAsia="zh-CN"/>
        </w:rPr>
      </w:pPr>
      <w:r>
        <w:rPr>
          <w:rFonts w:hint="eastAsia"/>
          <w:lang w:val="en-US" w:eastAsia="zh-CN"/>
        </w:rPr>
        <w:t>将上下框线修改为1.5磅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0FF714A" w15:done="0"/>
  <w15:commentEx w15:paraId="4F1E49F0" w15:done="0"/>
  <w15:commentEx w15:paraId="02A50706" w15:done="0"/>
  <w15:commentEx w15:paraId="230178B2" w15:done="0"/>
  <w15:commentEx w15:paraId="4861691D" w15:done="0"/>
  <w15:commentEx w15:paraId="3C4D53C1" w15:done="0"/>
  <w15:commentEx w15:paraId="24331013" w15:done="0"/>
  <w15:commentEx w15:paraId="7D19526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pPr>
    <w:r>
      <w:t xml:space="preserve">- </w:t>
    </w:r>
    <w:r>
      <w:fldChar w:fldCharType="begin"/>
    </w:r>
    <w:r>
      <w:instrText xml:space="preserve"> PAGE </w:instrText>
    </w:r>
    <w:r>
      <w:fldChar w:fldCharType="separate"/>
    </w:r>
    <w:r>
      <w:t>１</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4"/>
      </w:rPr>
    </w:pPr>
    <w:r>
      <w:fldChar w:fldCharType="begin"/>
    </w:r>
    <w:r>
      <w:rPr>
        <w:rStyle w:val="14"/>
      </w:rPr>
      <w:instrText xml:space="preserve">PAGE  </w:instrText>
    </w:r>
    <w: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pPr>
    <w:r>
      <w:t xml:space="preserve">- </w:t>
    </w:r>
    <w:r>
      <w:fldChar w:fldCharType="begin"/>
    </w:r>
    <w:r>
      <w:instrText xml:space="preserve"> PAGE </w:instrText>
    </w:r>
    <w:r>
      <w:fldChar w:fldCharType="separate"/>
    </w:r>
    <w:r>
      <w:rPr>
        <w:rFonts w:hint="eastAsia"/>
      </w:rPr>
      <w:t>１</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rPr>
          <w:sz w:val="21"/>
          <w:szCs w:val="21"/>
        </w:rPr>
      </w:pPr>
      <w:r>
        <w:rPr>
          <w:rStyle w:val="16"/>
          <w:sz w:val="21"/>
          <w:szCs w:val="21"/>
        </w:rPr>
        <w:footnoteRef/>
      </w:r>
      <w:r>
        <w:rPr>
          <w:sz w:val="21"/>
          <w:szCs w:val="21"/>
        </w:rPr>
        <w:t xml:space="preserve"> </w:t>
      </w:r>
      <w:r>
        <w:rPr>
          <w:rFonts w:hint="eastAsia"/>
          <w:sz w:val="21"/>
          <w:szCs w:val="21"/>
        </w:rPr>
        <w:t>隐含波动率偏差为看跌期权的隐含波动率减去看涨期权的隐含波动率。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pPr>
    <w:r>
      <w:rPr>
        <w:rFonts w:hint="eastAsia"/>
      </w:rPr>
      <w:t>毕业论文（设计）：正文</w:t>
    </w:r>
  </w:p>
  <w:p>
    <w:pPr>
      <w:pStyle w:val="6"/>
      <w:jc w:val="left"/>
    </w:pPr>
    <w:r>
      <w:rPr>
        <w:rFonts w:hint="eastAsia"/>
      </w:rPr>
      <w:t>毕业论文（设计）题目：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pPr>
    <w:r>
      <w:rPr>
        <w:rFonts w:hint="eastAsia"/>
      </w:rPr>
      <w:t>毕业论文（设计）：正文</w:t>
    </w:r>
  </w:p>
  <w:p>
    <w:pPr>
      <w:pStyle w:val="6"/>
      <w:jc w:val="left"/>
    </w:pPr>
    <w:r>
      <w:rPr>
        <w:rFonts w:hint="eastAsia"/>
      </w:rPr>
      <w:t>毕业论文（设计）题目：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CF6CF1"/>
    <w:multiLevelType w:val="multilevel"/>
    <w:tmpl w:val="57CF6CF1"/>
    <w:lvl w:ilvl="0" w:tentative="0">
      <w:start w:val="1"/>
      <w:numFmt w:val="chineseCountingThousand"/>
      <w:pStyle w:val="24"/>
      <w:suff w:val="nothing"/>
      <w:lvlText w:val="%1、"/>
      <w:lvlJc w:val="left"/>
      <w:pPr>
        <w:ind w:left="425" w:hanging="425"/>
      </w:pPr>
      <w:rPr>
        <w:rFonts w:hint="default" w:ascii="Times New Roman" w:hAnsi="Times New Roman" w:eastAsia="宋体"/>
        <w:sz w:val="28"/>
      </w:rPr>
    </w:lvl>
    <w:lvl w:ilvl="1" w:tentative="0">
      <w:start w:val="1"/>
      <w:numFmt w:val="chineseCountingThousand"/>
      <w:pStyle w:val="25"/>
      <w:suff w:val="nothing"/>
      <w:lvlText w:val="（%2）"/>
      <w:lvlJc w:val="left"/>
      <w:pPr>
        <w:ind w:left="567" w:hanging="567"/>
      </w:pPr>
      <w:rPr>
        <w:rFonts w:hint="default" w:ascii="Times New Roman" w:hAnsi="Times New Roman" w:eastAsia="宋体"/>
        <w:sz w:val="24"/>
      </w:rPr>
    </w:lvl>
    <w:lvl w:ilvl="2" w:tentative="0">
      <w:start w:val="1"/>
      <w:numFmt w:val="decimal"/>
      <w:pStyle w:val="26"/>
      <w:suff w:val="nothing"/>
      <w:lvlText w:val="%3."/>
      <w:lvlJc w:val="left"/>
      <w:pPr>
        <w:ind w:left="1418" w:hanging="567"/>
      </w:pPr>
      <w:rPr>
        <w:rFonts w:hint="default" w:ascii="Times New Roman" w:hAnsi="Times New Roman" w:eastAsia="宋体"/>
        <w:sz w:val="24"/>
      </w:rPr>
    </w:lvl>
    <w:lvl w:ilvl="3" w:tentative="0">
      <w:start w:val="1"/>
      <w:numFmt w:val="decimal"/>
      <w:pStyle w:val="27"/>
      <w:lvlText w:val="（%4）"/>
      <w:lvlJc w:val="left"/>
      <w:pPr>
        <w:ind w:left="1984" w:hanging="708"/>
      </w:pPr>
      <w:rPr>
        <w:rFonts w:hint="default" w:ascii="Times New Roman" w:hAnsi="Times New Roman" w:eastAsia="宋体"/>
        <w:sz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70E1693"/>
    <w:multiLevelType w:val="multilevel"/>
    <w:tmpl w:val="770E1693"/>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
    <w15:presenceInfo w15:providerId="WPS Office" w15:userId="1816737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ZkNzQ4ZWFiZmQ4NTRhOWRkZTk3YTMwMjlmMmZhYmUifQ=="/>
  </w:docVars>
  <w:rsids>
    <w:rsidRoot w:val="002C4BDC"/>
    <w:rsid w:val="0002445B"/>
    <w:rsid w:val="0002634D"/>
    <w:rsid w:val="00034BEC"/>
    <w:rsid w:val="00035307"/>
    <w:rsid w:val="000373E1"/>
    <w:rsid w:val="00041ED8"/>
    <w:rsid w:val="00047115"/>
    <w:rsid w:val="000476A0"/>
    <w:rsid w:val="0006374D"/>
    <w:rsid w:val="00085CDE"/>
    <w:rsid w:val="00086F7A"/>
    <w:rsid w:val="000A34C5"/>
    <w:rsid w:val="000A6FD2"/>
    <w:rsid w:val="000B433D"/>
    <w:rsid w:val="000F4220"/>
    <w:rsid w:val="00106A43"/>
    <w:rsid w:val="00120FAF"/>
    <w:rsid w:val="00122B12"/>
    <w:rsid w:val="00137946"/>
    <w:rsid w:val="001479E3"/>
    <w:rsid w:val="001612FB"/>
    <w:rsid w:val="002053A0"/>
    <w:rsid w:val="00207254"/>
    <w:rsid w:val="0021071D"/>
    <w:rsid w:val="00224535"/>
    <w:rsid w:val="00227DB3"/>
    <w:rsid w:val="00262071"/>
    <w:rsid w:val="002C4BDC"/>
    <w:rsid w:val="002C5550"/>
    <w:rsid w:val="002D37E3"/>
    <w:rsid w:val="002F3AD3"/>
    <w:rsid w:val="002F4F32"/>
    <w:rsid w:val="00320E96"/>
    <w:rsid w:val="00363815"/>
    <w:rsid w:val="00363AFB"/>
    <w:rsid w:val="00363F5F"/>
    <w:rsid w:val="00364660"/>
    <w:rsid w:val="003867DB"/>
    <w:rsid w:val="00391952"/>
    <w:rsid w:val="00393B29"/>
    <w:rsid w:val="00397355"/>
    <w:rsid w:val="003C6949"/>
    <w:rsid w:val="00463BE5"/>
    <w:rsid w:val="00464547"/>
    <w:rsid w:val="004A24E4"/>
    <w:rsid w:val="004C3948"/>
    <w:rsid w:val="004D103A"/>
    <w:rsid w:val="004E0001"/>
    <w:rsid w:val="0051222C"/>
    <w:rsid w:val="005128C5"/>
    <w:rsid w:val="0051374D"/>
    <w:rsid w:val="00521AE8"/>
    <w:rsid w:val="00521B6E"/>
    <w:rsid w:val="00523801"/>
    <w:rsid w:val="005271BB"/>
    <w:rsid w:val="005454C7"/>
    <w:rsid w:val="0057014B"/>
    <w:rsid w:val="005A2859"/>
    <w:rsid w:val="005C292E"/>
    <w:rsid w:val="005D4458"/>
    <w:rsid w:val="005D4E51"/>
    <w:rsid w:val="005D60BE"/>
    <w:rsid w:val="006029FD"/>
    <w:rsid w:val="006074F1"/>
    <w:rsid w:val="0062769A"/>
    <w:rsid w:val="00684CB7"/>
    <w:rsid w:val="006A08B9"/>
    <w:rsid w:val="006A0929"/>
    <w:rsid w:val="006A342E"/>
    <w:rsid w:val="006A403D"/>
    <w:rsid w:val="006A5DCB"/>
    <w:rsid w:val="006B706B"/>
    <w:rsid w:val="007129A2"/>
    <w:rsid w:val="0073625F"/>
    <w:rsid w:val="00740908"/>
    <w:rsid w:val="00750CC8"/>
    <w:rsid w:val="0079109A"/>
    <w:rsid w:val="0079715F"/>
    <w:rsid w:val="007B53B3"/>
    <w:rsid w:val="007C3529"/>
    <w:rsid w:val="007D1914"/>
    <w:rsid w:val="007E283F"/>
    <w:rsid w:val="007E4D90"/>
    <w:rsid w:val="008059AD"/>
    <w:rsid w:val="00822AEA"/>
    <w:rsid w:val="00822E9C"/>
    <w:rsid w:val="008233D4"/>
    <w:rsid w:val="00830BFD"/>
    <w:rsid w:val="00830E9A"/>
    <w:rsid w:val="0083198C"/>
    <w:rsid w:val="008467E9"/>
    <w:rsid w:val="00851608"/>
    <w:rsid w:val="00856EF9"/>
    <w:rsid w:val="008C6BFA"/>
    <w:rsid w:val="008D6D45"/>
    <w:rsid w:val="008D772C"/>
    <w:rsid w:val="008E5061"/>
    <w:rsid w:val="008E62A5"/>
    <w:rsid w:val="008E6FB9"/>
    <w:rsid w:val="008F1C0E"/>
    <w:rsid w:val="00900E29"/>
    <w:rsid w:val="00925907"/>
    <w:rsid w:val="009614FC"/>
    <w:rsid w:val="00A01A12"/>
    <w:rsid w:val="00A043D7"/>
    <w:rsid w:val="00A23BCD"/>
    <w:rsid w:val="00A84241"/>
    <w:rsid w:val="00A927EB"/>
    <w:rsid w:val="00AA73CF"/>
    <w:rsid w:val="00AC5439"/>
    <w:rsid w:val="00AD5F8C"/>
    <w:rsid w:val="00AE65EA"/>
    <w:rsid w:val="00AF560D"/>
    <w:rsid w:val="00B022D1"/>
    <w:rsid w:val="00B07E70"/>
    <w:rsid w:val="00B07EF7"/>
    <w:rsid w:val="00B147CE"/>
    <w:rsid w:val="00B25686"/>
    <w:rsid w:val="00B31310"/>
    <w:rsid w:val="00B4046B"/>
    <w:rsid w:val="00B4325B"/>
    <w:rsid w:val="00B45401"/>
    <w:rsid w:val="00B65FFB"/>
    <w:rsid w:val="00B77EE3"/>
    <w:rsid w:val="00BA1E1A"/>
    <w:rsid w:val="00BA5041"/>
    <w:rsid w:val="00BA626D"/>
    <w:rsid w:val="00BC4C22"/>
    <w:rsid w:val="00BE3E6B"/>
    <w:rsid w:val="00BE5994"/>
    <w:rsid w:val="00C22FF8"/>
    <w:rsid w:val="00C43224"/>
    <w:rsid w:val="00C63126"/>
    <w:rsid w:val="00C64332"/>
    <w:rsid w:val="00C71014"/>
    <w:rsid w:val="00C81335"/>
    <w:rsid w:val="00CA4C3B"/>
    <w:rsid w:val="00CB567D"/>
    <w:rsid w:val="00CC2CC6"/>
    <w:rsid w:val="00CC4A9A"/>
    <w:rsid w:val="00CD1358"/>
    <w:rsid w:val="00D1077A"/>
    <w:rsid w:val="00D337F2"/>
    <w:rsid w:val="00D34422"/>
    <w:rsid w:val="00D41236"/>
    <w:rsid w:val="00D51871"/>
    <w:rsid w:val="00D749C7"/>
    <w:rsid w:val="00DB2B3C"/>
    <w:rsid w:val="00DF0D4A"/>
    <w:rsid w:val="00DF42E1"/>
    <w:rsid w:val="00E26691"/>
    <w:rsid w:val="00E315A2"/>
    <w:rsid w:val="00E45297"/>
    <w:rsid w:val="00E47FEF"/>
    <w:rsid w:val="00E569E6"/>
    <w:rsid w:val="00E651A6"/>
    <w:rsid w:val="00EA5285"/>
    <w:rsid w:val="00EC36E4"/>
    <w:rsid w:val="00ED7C81"/>
    <w:rsid w:val="00EE66F3"/>
    <w:rsid w:val="00F34FFD"/>
    <w:rsid w:val="00F36274"/>
    <w:rsid w:val="00F36EAB"/>
    <w:rsid w:val="00F862EF"/>
    <w:rsid w:val="00FE6E33"/>
    <w:rsid w:val="1CA83D3D"/>
    <w:rsid w:val="2A6E594B"/>
    <w:rsid w:val="30907F59"/>
    <w:rsid w:val="41D57847"/>
    <w:rsid w:val="423941EC"/>
    <w:rsid w:val="43D76BB4"/>
    <w:rsid w:val="700C30C9"/>
    <w:rsid w:val="75436915"/>
    <w:rsid w:val="75FE7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9"/>
    <w:unhideWhenUsed/>
    <w:qFormat/>
    <w:uiPriority w:val="0"/>
    <w:pPr>
      <w:spacing w:before="100" w:beforeAutospacing="1" w:after="100" w:afterAutospacing="1"/>
    </w:pPr>
    <w:rPr>
      <w:rFonts w:ascii="宋体" w:hAnsi="宋体" w:cs="宋体"/>
    </w:rPr>
  </w:style>
  <w:style w:type="paragraph" w:styleId="4">
    <w:name w:val="endnote text"/>
    <w:basedOn w:val="1"/>
    <w:link w:val="18"/>
    <w:unhideWhenUsed/>
    <w:qFormat/>
    <w:uiPriority w:val="0"/>
    <w:pPr>
      <w:spacing w:before="100" w:beforeAutospacing="1" w:after="100" w:afterAutospacing="1"/>
    </w:pPr>
    <w:rPr>
      <w:rFonts w:ascii="宋体" w:hAnsi="宋体" w:cs="宋体"/>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spacing w:line="400" w:lineRule="exact"/>
    </w:pPr>
    <w:rPr>
      <w:bCs/>
      <w:iCs/>
    </w:rPr>
  </w:style>
  <w:style w:type="paragraph" w:styleId="8">
    <w:name w:val="footnote text"/>
    <w:basedOn w:val="1"/>
    <w:link w:val="23"/>
    <w:qFormat/>
    <w:uiPriority w:val="99"/>
    <w:pPr>
      <w:snapToGrid w:val="0"/>
    </w:pPr>
    <w:rPr>
      <w:sz w:val="18"/>
      <w:szCs w:val="18"/>
    </w:rPr>
  </w:style>
  <w:style w:type="paragraph" w:styleId="9">
    <w:name w:val="toc 2"/>
    <w:basedOn w:val="1"/>
    <w:next w:val="1"/>
    <w:unhideWhenUsed/>
    <w:qFormat/>
    <w:uiPriority w:val="39"/>
    <w:pPr>
      <w:spacing w:line="400" w:lineRule="exact"/>
      <w:ind w:firstLine="200" w:firstLineChars="200"/>
    </w:pPr>
    <w:rPr>
      <w:bCs/>
      <w:szCs w:val="22"/>
    </w:rPr>
  </w:style>
  <w:style w:type="paragraph" w:styleId="10">
    <w:name w:val="Normal (Web)"/>
    <w:basedOn w:val="1"/>
    <w:unhideWhenUsed/>
    <w:qFormat/>
    <w:uiPriority w:val="0"/>
    <w:pPr>
      <w:spacing w:before="100" w:beforeAutospacing="1" w:after="100" w:afterAutospacing="1"/>
    </w:pPr>
    <w:rPr>
      <w:rFonts w:ascii="宋体" w:hAnsi="宋体" w:cs="宋体"/>
    </w:rPr>
  </w:style>
  <w:style w:type="character" w:styleId="13">
    <w:name w:val="Strong"/>
    <w:qFormat/>
    <w:uiPriority w:val="0"/>
    <w:rPr>
      <w:b/>
      <w:bCs/>
    </w:rPr>
  </w:style>
  <w:style w:type="character" w:styleId="14">
    <w:name w:val="page number"/>
    <w:basedOn w:val="12"/>
    <w:qFormat/>
    <w:uiPriority w:val="0"/>
  </w:style>
  <w:style w:type="character" w:styleId="15">
    <w:name w:val="Hyperlink"/>
    <w:qFormat/>
    <w:uiPriority w:val="99"/>
    <w:rPr>
      <w:color w:val="0000FF"/>
      <w:u w:val="single"/>
    </w:rPr>
  </w:style>
  <w:style w:type="character" w:styleId="16">
    <w:name w:val="footnote reference"/>
    <w:qFormat/>
    <w:uiPriority w:val="99"/>
    <w:rPr>
      <w:vertAlign w:val="superscript"/>
    </w:rPr>
  </w:style>
  <w:style w:type="character" w:customStyle="1" w:styleId="17">
    <w:name w:val="页眉 字符"/>
    <w:link w:val="6"/>
    <w:qFormat/>
    <w:uiPriority w:val="99"/>
    <w:rPr>
      <w:sz w:val="18"/>
      <w:szCs w:val="18"/>
    </w:rPr>
  </w:style>
  <w:style w:type="character" w:customStyle="1" w:styleId="18">
    <w:name w:val="尾注文本 字符"/>
    <w:link w:val="4"/>
    <w:qFormat/>
    <w:uiPriority w:val="0"/>
    <w:rPr>
      <w:rFonts w:ascii="宋体" w:hAnsi="宋体" w:cs="宋体"/>
      <w:sz w:val="24"/>
      <w:szCs w:val="24"/>
    </w:rPr>
  </w:style>
  <w:style w:type="character" w:customStyle="1" w:styleId="19">
    <w:name w:val="纯文本 字符"/>
    <w:link w:val="3"/>
    <w:qFormat/>
    <w:uiPriority w:val="0"/>
    <w:rPr>
      <w:rFonts w:ascii="宋体" w:hAnsi="宋体" w:cs="宋体"/>
      <w:sz w:val="24"/>
      <w:szCs w:val="24"/>
    </w:rPr>
  </w:style>
  <w:style w:type="paragraph" w:customStyle="1" w:styleId="20">
    <w:name w:val="参考文献"/>
    <w:basedOn w:val="1"/>
    <w:qFormat/>
    <w:uiPriority w:val="0"/>
    <w:pPr>
      <w:widowControl w:val="0"/>
      <w:numPr>
        <w:ilvl w:val="0"/>
        <w:numId w:val="1"/>
      </w:numPr>
      <w:tabs>
        <w:tab w:val="left" w:pos="488"/>
      </w:tabs>
      <w:overflowPunct w:val="0"/>
      <w:autoSpaceDN w:val="0"/>
      <w:adjustRightInd w:val="0"/>
      <w:spacing w:line="288" w:lineRule="auto"/>
      <w:jc w:val="both"/>
    </w:pPr>
    <w:rPr>
      <w:rFonts w:cs="Courier New"/>
      <w:sz w:val="21"/>
      <w:szCs w:val="21"/>
    </w:rPr>
  </w:style>
  <w:style w:type="paragraph" w:customStyle="1" w:styleId="21">
    <w:name w:val="news"/>
    <w:basedOn w:val="1"/>
    <w:qFormat/>
    <w:uiPriority w:val="0"/>
    <w:rPr>
      <w:rFonts w:ascii="宋体" w:hAnsi="宋体" w:cs="宋体"/>
      <w:color w:val="333333"/>
    </w:rPr>
  </w:style>
  <w:style w:type="character" w:customStyle="1" w:styleId="22">
    <w:name w:val="datatitle1"/>
    <w:qFormat/>
    <w:uiPriority w:val="0"/>
    <w:rPr>
      <w:b/>
      <w:bCs/>
      <w:color w:val="10619F"/>
      <w:sz w:val="21"/>
      <w:szCs w:val="21"/>
    </w:rPr>
  </w:style>
  <w:style w:type="character" w:customStyle="1" w:styleId="23">
    <w:name w:val="脚注文本 字符"/>
    <w:link w:val="8"/>
    <w:qFormat/>
    <w:uiPriority w:val="99"/>
    <w:rPr>
      <w:sz w:val="18"/>
      <w:szCs w:val="18"/>
    </w:rPr>
  </w:style>
  <w:style w:type="paragraph" w:customStyle="1" w:styleId="24">
    <w:name w:val="毕业论文一级标题"/>
    <w:basedOn w:val="1"/>
    <w:qFormat/>
    <w:uiPriority w:val="0"/>
    <w:pPr>
      <w:numPr>
        <w:ilvl w:val="0"/>
        <w:numId w:val="2"/>
      </w:numPr>
      <w:spacing w:line="480" w:lineRule="auto"/>
      <w:jc w:val="center"/>
    </w:pPr>
    <w:rPr>
      <w:b/>
      <w:bCs/>
      <w:sz w:val="28"/>
      <w:szCs w:val="32"/>
    </w:rPr>
  </w:style>
  <w:style w:type="paragraph" w:customStyle="1" w:styleId="25">
    <w:name w:val="毕业论文二级标题"/>
    <w:basedOn w:val="24"/>
    <w:qFormat/>
    <w:uiPriority w:val="0"/>
    <w:pPr>
      <w:numPr>
        <w:ilvl w:val="1"/>
      </w:numPr>
      <w:spacing w:line="400" w:lineRule="exact"/>
      <w:ind w:left="0" w:firstLine="200" w:firstLineChars="200"/>
      <w:jc w:val="left"/>
    </w:pPr>
    <w:rPr>
      <w:sz w:val="24"/>
    </w:rPr>
  </w:style>
  <w:style w:type="paragraph" w:customStyle="1" w:styleId="26">
    <w:name w:val="毕业论文三级标题"/>
    <w:basedOn w:val="25"/>
    <w:qFormat/>
    <w:uiPriority w:val="0"/>
    <w:pPr>
      <w:numPr>
        <w:ilvl w:val="2"/>
      </w:numPr>
      <w:ind w:left="0" w:firstLine="200"/>
    </w:pPr>
  </w:style>
  <w:style w:type="paragraph" w:customStyle="1" w:styleId="27">
    <w:name w:val="毕业论文四级标题"/>
    <w:basedOn w:val="26"/>
    <w:qFormat/>
    <w:uiPriority w:val="0"/>
    <w:pPr>
      <w:numPr>
        <w:ilvl w:val="3"/>
      </w:numPr>
    </w:pPr>
  </w:style>
  <w:style w:type="paragraph" w:customStyle="1" w:styleId="28">
    <w:name w:val="毕业论文正文"/>
    <w:qFormat/>
    <w:uiPriority w:val="0"/>
    <w:pPr>
      <w:spacing w:line="400" w:lineRule="exact"/>
      <w:ind w:firstLine="200" w:firstLineChars="200"/>
      <w:jc w:val="both"/>
    </w:pPr>
    <w:rPr>
      <w:rFonts w:ascii="Times New Roman" w:hAnsi="Times New Roman" w:eastAsia="宋体" w:cs="Times New Roman"/>
      <w:bCs/>
      <w:sz w:val="24"/>
      <w:szCs w:val="32"/>
      <w:lang w:val="en-US" w:eastAsia="zh-CN" w:bidi="ar-SA"/>
    </w:rPr>
  </w:style>
  <w:style w:type="table" w:customStyle="1" w:styleId="29">
    <w:name w:val="Plain Table 4"/>
    <w:basedOn w:val="11"/>
    <w:qFormat/>
    <w:uiPriority w:val="44"/>
    <w:rPr>
      <w:rFonts w:ascii="等线" w:hAnsi="等线" w:eastAsia="等线"/>
      <w:kern w:val="2"/>
      <w:sz w:val="21"/>
      <w:szCs w:val="22"/>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30">
    <w:name w:val="公式"/>
    <w:basedOn w:val="28"/>
    <w:qFormat/>
    <w:uiPriority w:val="0"/>
    <w:pPr>
      <w:tabs>
        <w:tab w:val="left" w:pos="480"/>
        <w:tab w:val="right" w:pos="8400"/>
      </w:tabs>
    </w:pPr>
  </w:style>
  <w:style w:type="paragraph" w:customStyle="1" w:styleId="31">
    <w:name w:val="EndNote Bibliography"/>
    <w:basedOn w:val="1"/>
    <w:link w:val="32"/>
    <w:qFormat/>
    <w:uiPriority w:val="0"/>
  </w:style>
  <w:style w:type="character" w:customStyle="1" w:styleId="32">
    <w:name w:val="EndNote Bibliography 字符"/>
    <w:link w:val="31"/>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4"/>
    <customShpInfo spid="_x0000_s205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44FCC-92EC-40A0-914A-B60C7F3CA50D}">
  <ds:schemaRefs/>
</ds:datastoreItem>
</file>

<file path=docProps/app.xml><?xml version="1.0" encoding="utf-8"?>
<Properties xmlns="http://schemas.openxmlformats.org/officeDocument/2006/extended-properties" xmlns:vt="http://schemas.openxmlformats.org/officeDocument/2006/docPropsVTypes">
  <Template>Normal</Template>
  <Company>zj</Company>
  <Pages>9</Pages>
  <Words>1183</Words>
  <Characters>6746</Characters>
  <Lines>56</Lines>
  <Paragraphs>15</Paragraphs>
  <TotalTime>2</TotalTime>
  <ScaleCrop>false</ScaleCrop>
  <LinksUpToDate>false</LinksUpToDate>
  <CharactersWithSpaces>7914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2021-10-06T14:09:00Z</dcterms:created>
  <dc:creator>hz</dc:creator>
  <cp:lastModifiedBy>C</cp:lastModifiedBy>
  <cp:lastPrinted>2022-11-16T14:39:00Z</cp:lastPrinted>
  <dcterms:modified xsi:type="dcterms:W3CDTF">2023-06-14T06:06:08Z</dcterms:modified>
  <dc:title>浙江工商大学</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C4A5C526D45E4F0B8E64DBB91F89565D_12</vt:lpwstr>
  </property>
</Properties>
</file>